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8" w:type="dxa"/>
        <w:tblLayout w:type="fixed"/>
        <w:tblLook w:val="0000"/>
      </w:tblPr>
      <w:tblGrid>
        <w:gridCol w:w="4796"/>
        <w:gridCol w:w="244"/>
        <w:gridCol w:w="4628"/>
      </w:tblGrid>
      <w:tr w:rsidR="00735F13" w:rsidRPr="00BB5323" w:rsidTr="00994E9A">
        <w:tc>
          <w:tcPr>
            <w:tcW w:w="4796" w:type="dxa"/>
          </w:tcPr>
          <w:p w:rsidR="00735F13" w:rsidRPr="00BB5323" w:rsidRDefault="00735F13">
            <w:pPr>
              <w:pStyle w:val="NoSpacing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735F13" w:rsidRPr="00BB5323" w:rsidRDefault="00735F13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Исполнительный директор</w:t>
            </w:r>
          </w:p>
          <w:p w:rsidR="00735F13" w:rsidRPr="00BB5323" w:rsidRDefault="00735F13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Общероссийской общественной</w:t>
            </w:r>
          </w:p>
          <w:p w:rsidR="00735F13" w:rsidRPr="00BB5323" w:rsidRDefault="00735F13" w:rsidP="007D6E60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организации</w:t>
            </w:r>
          </w:p>
          <w:p w:rsidR="00735F13" w:rsidRPr="00BB5323" w:rsidRDefault="00735F13" w:rsidP="007D6E60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«Федерация шахмат России»</w:t>
            </w:r>
          </w:p>
          <w:p w:rsidR="00735F13" w:rsidRDefault="00735F13" w:rsidP="007D6E60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  <w:p w:rsidR="00735F13" w:rsidRPr="00BB5323" w:rsidRDefault="00735F13" w:rsidP="007D6E60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  <w:p w:rsidR="00735F13" w:rsidRPr="00BB5323" w:rsidRDefault="00735F13" w:rsidP="00451A22">
            <w:pPr>
              <w:pStyle w:val="NoSpacing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__________________А.В. Ткач</w:t>
            </w:r>
            <w:r>
              <w:rPr>
                <w:rFonts w:cs="Times New Roman"/>
                <w:color w:val="000000"/>
                <w:sz w:val="28"/>
                <w:szCs w:val="28"/>
              </w:rPr>
              <w:t>ё</w:t>
            </w:r>
            <w:r w:rsidRPr="00BB5323">
              <w:rPr>
                <w:rFonts w:cs="Times New Roman"/>
                <w:color w:val="000000"/>
                <w:sz w:val="28"/>
                <w:szCs w:val="28"/>
              </w:rPr>
              <w:t>в</w:t>
            </w:r>
          </w:p>
          <w:p w:rsidR="00735F13" w:rsidRPr="00BB5323" w:rsidRDefault="00735F13" w:rsidP="00451A22">
            <w:pPr>
              <w:pStyle w:val="NoSpacing"/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«_____»__________________2023 г.</w:t>
            </w:r>
          </w:p>
        </w:tc>
        <w:tc>
          <w:tcPr>
            <w:tcW w:w="244" w:type="dxa"/>
          </w:tcPr>
          <w:p w:rsidR="00735F13" w:rsidRPr="00BB5323" w:rsidRDefault="00735F13">
            <w:pPr>
              <w:pStyle w:val="NoSpacing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</w:tcPr>
          <w:p w:rsidR="00735F13" w:rsidRPr="00BB5323" w:rsidRDefault="00735F13" w:rsidP="007D6E60">
            <w:pPr>
              <w:pStyle w:val="NoSpacing"/>
              <w:rPr>
                <w:rFonts w:cs="Times New Roman"/>
                <w:bCs/>
                <w:color w:val="000000"/>
                <w:spacing w:val="5"/>
                <w:sz w:val="28"/>
                <w:szCs w:val="28"/>
              </w:rPr>
            </w:pPr>
            <w:r w:rsidRPr="00BB5323">
              <w:rPr>
                <w:rFonts w:cs="Times New Roman"/>
                <w:b/>
                <w:bCs/>
                <w:color w:val="000000"/>
                <w:spacing w:val="5"/>
                <w:sz w:val="28"/>
                <w:szCs w:val="28"/>
              </w:rPr>
              <w:t>УТВЕРЖДАЮ</w:t>
            </w:r>
          </w:p>
          <w:p w:rsidR="00735F13" w:rsidRPr="00BB5323" w:rsidRDefault="00735F13" w:rsidP="007D6E60">
            <w:pPr>
              <w:pStyle w:val="NoSpacing"/>
              <w:rPr>
                <w:rFonts w:cs="Times New Roman"/>
                <w:color w:val="000000"/>
                <w:sz w:val="28"/>
                <w:szCs w:val="28"/>
              </w:rPr>
            </w:pPr>
            <w:r w:rsidRPr="0040080E">
              <w:rPr>
                <w:sz w:val="28"/>
                <w:szCs w:val="28"/>
              </w:rPr>
              <w:t>Исполнительный директор Региональной общественной организации «Спортивная федерация шахмат Санкт-Петербурга»</w:t>
            </w:r>
          </w:p>
          <w:p w:rsidR="00735F13" w:rsidRPr="00BB5323" w:rsidRDefault="00735F13" w:rsidP="007D6E60">
            <w:pPr>
              <w:pStyle w:val="NoSpacing"/>
              <w:rPr>
                <w:rFonts w:cs="Times New Roman"/>
                <w:color w:val="000000"/>
                <w:spacing w:val="5"/>
                <w:sz w:val="28"/>
                <w:szCs w:val="28"/>
              </w:rPr>
            </w:pPr>
          </w:p>
          <w:p w:rsidR="00735F13" w:rsidRPr="00BB5323" w:rsidRDefault="00735F13" w:rsidP="00451A22">
            <w:pPr>
              <w:pStyle w:val="NoSpacing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BB5323">
              <w:rPr>
                <w:rFonts w:cs="Times New Roman"/>
                <w:color w:val="000000"/>
                <w:sz w:val="28"/>
                <w:szCs w:val="28"/>
              </w:rPr>
              <w:t>___________________В.В. Быков</w:t>
            </w:r>
          </w:p>
          <w:p w:rsidR="00735F13" w:rsidRPr="00BB5323" w:rsidRDefault="00735F13" w:rsidP="00451A22">
            <w:pPr>
              <w:spacing w:line="276" w:lineRule="auto"/>
              <w:rPr>
                <w:color w:val="000000"/>
              </w:rPr>
            </w:pPr>
            <w:r w:rsidRPr="00BB5323">
              <w:rPr>
                <w:color w:val="000000"/>
              </w:rPr>
              <w:t>«_____»________________20</w:t>
            </w:r>
            <w:r w:rsidRPr="00BB5323">
              <w:rPr>
                <w:color w:val="000000"/>
                <w:lang w:val="en-US"/>
              </w:rPr>
              <w:t>2</w:t>
            </w:r>
            <w:r w:rsidRPr="00BB5323">
              <w:rPr>
                <w:color w:val="000000"/>
              </w:rPr>
              <w:t>3 г.</w:t>
            </w:r>
          </w:p>
        </w:tc>
      </w:tr>
    </w:tbl>
    <w:p w:rsidR="00735F13" w:rsidRPr="00BB5323" w:rsidRDefault="00735F13">
      <w:pPr>
        <w:pStyle w:val="Title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Pr="00BB532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Pr="00BB532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Pr="00BB532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Pr="00BB532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Pr="00BB5323" w:rsidRDefault="00735F13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735F13" w:rsidRPr="00BB5323" w:rsidRDefault="00735F13" w:rsidP="0093283C">
      <w:pPr>
        <w:pStyle w:val="Title"/>
        <w:rPr>
          <w:rFonts w:ascii="Times New Roman" w:hAnsi="Times New Roman"/>
          <w:color w:val="000000"/>
          <w:sz w:val="28"/>
          <w:szCs w:val="28"/>
        </w:rPr>
      </w:pPr>
      <w:r w:rsidRPr="00BB5323">
        <w:rPr>
          <w:rFonts w:ascii="Times New Roman" w:hAnsi="Times New Roman"/>
          <w:color w:val="000000"/>
          <w:sz w:val="28"/>
          <w:szCs w:val="28"/>
        </w:rPr>
        <w:t>Положение</w:t>
      </w:r>
    </w:p>
    <w:p w:rsidR="00735F13" w:rsidRPr="00BB5323" w:rsidRDefault="00735F13" w:rsidP="005A166A">
      <w:pPr>
        <w:pStyle w:val="Title"/>
        <w:rPr>
          <w:rFonts w:ascii="Times New Roman" w:hAnsi="Times New Roman"/>
          <w:b w:val="0"/>
          <w:bCs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>о проведении соревнования 2023 года по блицу –</w:t>
      </w:r>
    </w:p>
    <w:p w:rsidR="00735F13" w:rsidRPr="00BB5323" w:rsidRDefault="00735F13" w:rsidP="005A166A">
      <w:pPr>
        <w:pStyle w:val="Title"/>
        <w:rPr>
          <w:rFonts w:ascii="Times New Roman" w:hAnsi="Times New Roman"/>
          <w:b w:val="0"/>
          <w:bCs/>
          <w:color w:val="000000"/>
          <w:kern w:val="0"/>
          <w:sz w:val="28"/>
          <w:szCs w:val="28"/>
        </w:rPr>
      </w:pPr>
      <w:r w:rsidRPr="00BB5323">
        <w:rPr>
          <w:rFonts w:ascii="Times New Roman" w:hAnsi="Times New Roman"/>
          <w:b w:val="0"/>
          <w:color w:val="000000"/>
          <w:kern w:val="0"/>
          <w:sz w:val="28"/>
          <w:szCs w:val="28"/>
        </w:rPr>
        <w:t>этап «БЛИЦ Гран-При России»</w:t>
      </w:r>
    </w:p>
    <w:p w:rsidR="00735F13" w:rsidRPr="003F0849" w:rsidRDefault="00735F13" w:rsidP="005A166A">
      <w:pPr>
        <w:pStyle w:val="Title"/>
        <w:rPr>
          <w:rFonts w:ascii="Times New Roman" w:hAnsi="Times New Roman"/>
          <w:color w:val="000000"/>
          <w:kern w:val="0"/>
          <w:sz w:val="28"/>
          <w:szCs w:val="28"/>
        </w:rPr>
      </w:pPr>
      <w:r w:rsidRPr="0040695C">
        <w:rPr>
          <w:rFonts w:ascii="Times New Roman" w:hAnsi="Times New Roman"/>
          <w:sz w:val="28"/>
          <w:szCs w:val="28"/>
        </w:rPr>
        <w:t>«Мемориал М. И. Чигорина»</w:t>
      </w:r>
    </w:p>
    <w:p w:rsidR="00735F13" w:rsidRPr="00BB5323" w:rsidRDefault="00735F13" w:rsidP="00D23358">
      <w:pPr>
        <w:jc w:val="center"/>
        <w:rPr>
          <w:bCs/>
          <w:color w:val="000000"/>
        </w:rPr>
      </w:pPr>
      <w:r w:rsidRPr="00BB5323">
        <w:rPr>
          <w:color w:val="000000"/>
        </w:rPr>
        <w:t>(номер-код спортивной дисциплины: блиц 08800</w:t>
      </w:r>
      <w:r>
        <w:rPr>
          <w:color w:val="000000"/>
        </w:rPr>
        <w:t>2</w:t>
      </w:r>
      <w:r w:rsidRPr="00BB5323">
        <w:rPr>
          <w:color w:val="000000"/>
        </w:rPr>
        <w:t>2811Я)</w:t>
      </w: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93283C">
      <w:pPr>
        <w:jc w:val="center"/>
        <w:rPr>
          <w:bCs/>
          <w:color w:val="000000"/>
        </w:rPr>
      </w:pPr>
    </w:p>
    <w:p w:rsidR="00735F13" w:rsidRPr="00BB5323" w:rsidRDefault="00735F13" w:rsidP="00D350B9">
      <w:pPr>
        <w:jc w:val="center"/>
        <w:rPr>
          <w:b/>
          <w:bCs/>
          <w:color w:val="000000"/>
        </w:rPr>
      </w:pPr>
      <w:r w:rsidRPr="00BB5323">
        <w:rPr>
          <w:b/>
          <w:bCs/>
          <w:color w:val="000000"/>
        </w:rPr>
        <w:t>2</w:t>
      </w:r>
      <w:r>
        <w:rPr>
          <w:b/>
          <w:bCs/>
          <w:color w:val="000000"/>
        </w:rPr>
        <w:t>0</w:t>
      </w:r>
      <w:r w:rsidRPr="00BB5323">
        <w:rPr>
          <w:b/>
          <w:bCs/>
          <w:color w:val="000000"/>
        </w:rPr>
        <w:t>-2</w:t>
      </w:r>
      <w:r>
        <w:rPr>
          <w:b/>
          <w:bCs/>
          <w:color w:val="000000"/>
        </w:rPr>
        <w:t>1</w:t>
      </w:r>
      <w:r w:rsidRPr="00BB532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октября</w:t>
      </w:r>
      <w:r w:rsidRPr="00BB5323">
        <w:rPr>
          <w:b/>
          <w:bCs/>
          <w:color w:val="000000"/>
        </w:rPr>
        <w:t xml:space="preserve"> </w:t>
      </w:r>
      <w:smartTag w:uri="urn:schemas-microsoft-com:office:smarttags" w:element="metricconverter">
        <w:smartTagPr>
          <w:attr w:name="ProductID" w:val="2023 г"/>
        </w:smartTagPr>
        <w:r w:rsidRPr="00BB5323">
          <w:rPr>
            <w:b/>
            <w:bCs/>
            <w:color w:val="000000"/>
          </w:rPr>
          <w:t>2023 г</w:t>
        </w:r>
      </w:smartTag>
      <w:r w:rsidRPr="00BB5323">
        <w:rPr>
          <w:b/>
          <w:bCs/>
          <w:color w:val="000000"/>
        </w:rPr>
        <w:t>., г. Санкт-Петербург</w:t>
      </w:r>
    </w:p>
    <w:p w:rsidR="00735F13" w:rsidRPr="0040695C" w:rsidRDefault="00735F13" w:rsidP="00E06D5C">
      <w:pPr>
        <w:pStyle w:val="a0"/>
        <w:keepNext w:val="0"/>
        <w:rPr>
          <w:color w:val="000000"/>
          <w:sz w:val="24"/>
          <w:szCs w:val="24"/>
        </w:rPr>
      </w:pPr>
      <w:r w:rsidRPr="00BB5323">
        <w:rPr>
          <w:color w:val="000000"/>
        </w:rPr>
        <w:br w:type="page"/>
      </w:r>
      <w:r w:rsidRPr="0040695C">
        <w:rPr>
          <w:color w:val="000000"/>
          <w:sz w:val="24"/>
          <w:szCs w:val="24"/>
        </w:rPr>
        <w:t>ОБЩИЕ ПОЛОЖЕНИЯ</w:t>
      </w:r>
    </w:p>
    <w:p w:rsidR="00735F13" w:rsidRPr="0040695C" w:rsidRDefault="00735F13" w:rsidP="00DF00D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Соревнования 2023 года по блицу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этап «БЛИЦ Гран-При России»</w:t>
      </w:r>
      <w:r>
        <w:rPr>
          <w:color w:val="000000"/>
          <w:sz w:val="24"/>
          <w:szCs w:val="24"/>
        </w:rPr>
        <w:t xml:space="preserve"> –</w:t>
      </w:r>
      <w:r w:rsidRPr="0040695C">
        <w:rPr>
          <w:color w:val="000000"/>
          <w:sz w:val="24"/>
          <w:szCs w:val="24"/>
        </w:rPr>
        <w:t xml:space="preserve"> «Мемориал </w:t>
      </w:r>
      <w:r>
        <w:rPr>
          <w:color w:val="000000"/>
          <w:sz w:val="24"/>
          <w:szCs w:val="24"/>
        </w:rPr>
        <w:t>М</w:t>
      </w:r>
      <w:r w:rsidRPr="0040695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И</w:t>
      </w:r>
      <w:r w:rsidRPr="0040695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Чигорина</w:t>
      </w:r>
      <w:r w:rsidRPr="0040695C">
        <w:rPr>
          <w:color w:val="000000"/>
          <w:sz w:val="24"/>
          <w:szCs w:val="24"/>
        </w:rPr>
        <w:t xml:space="preserve">» (далее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Соревнования) проводятся в соответствии </w:t>
      </w:r>
      <w:hyperlink r:id="rId7" w:history="1">
        <w:r w:rsidRPr="0040695C">
          <w:rPr>
            <w:rStyle w:val="Hyperlink"/>
            <w:sz w:val="24"/>
            <w:szCs w:val="24"/>
          </w:rPr>
          <w:t>календарным планом</w:t>
        </w:r>
      </w:hyperlink>
      <w:r w:rsidRPr="0040695C">
        <w:rPr>
          <w:color w:val="000000"/>
          <w:sz w:val="24"/>
          <w:szCs w:val="24"/>
        </w:rPr>
        <w:t xml:space="preserve"> Общероссийской общественной организации «Федерация шахмат России». Соревнования проводятся в соответствии с </w:t>
      </w:r>
      <w:hyperlink r:id="rId8" w:history="1">
        <w:r w:rsidRPr="0040695C">
          <w:rPr>
            <w:rStyle w:val="Hyperlink"/>
            <w:sz w:val="24"/>
            <w:szCs w:val="24"/>
          </w:rPr>
          <w:t>Положением</w:t>
        </w:r>
      </w:hyperlink>
      <w:r w:rsidRPr="0040695C">
        <w:rPr>
          <w:color w:val="000000"/>
          <w:sz w:val="24"/>
          <w:szCs w:val="24"/>
        </w:rPr>
        <w:t xml:space="preserve"> о всероссийских соревнованиях 2023 года по блицу «БЛИЦ Гран-При России».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Характер проведения Соревнований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личные,</w:t>
      </w:r>
      <w:r w:rsidRPr="0040695C">
        <w:rPr>
          <w:sz w:val="24"/>
          <w:szCs w:val="24"/>
        </w:rPr>
        <w:t xml:space="preserve"> спортивная дисциплина блиц (номер-код спортивной дисциплины: 0880022811Я)</w:t>
      </w:r>
      <w:r w:rsidRPr="0040695C">
        <w:rPr>
          <w:color w:val="000000"/>
          <w:sz w:val="24"/>
          <w:szCs w:val="24"/>
        </w:rPr>
        <w:t>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Организаторам и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735F13" w:rsidRPr="0040695C" w:rsidRDefault="00735F13" w:rsidP="00E31295">
      <w:pPr>
        <w:suppressAutoHyphens/>
        <w:ind w:firstLine="567"/>
        <w:jc w:val="both"/>
        <w:rPr>
          <w:color w:val="000000"/>
          <w:sz w:val="24"/>
          <w:szCs w:val="24"/>
          <w:lang w:eastAsia="zh-CN"/>
        </w:rPr>
      </w:pPr>
      <w:r w:rsidRPr="0040695C">
        <w:rPr>
          <w:b/>
          <w:color w:val="000000"/>
          <w:sz w:val="24"/>
          <w:szCs w:val="24"/>
          <w:lang w:eastAsia="zh-CN"/>
        </w:rPr>
        <w:t>Организаторы обеспечивают</w:t>
      </w:r>
      <w:r w:rsidRPr="0040695C">
        <w:rPr>
          <w:color w:val="000000"/>
          <w:sz w:val="24"/>
          <w:szCs w:val="24"/>
          <w:lang w:eastAsia="zh-CN"/>
        </w:rPr>
        <w:t>: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читинг-контроль с соблюдением требований Античитерских правил, утвержденных ФИДЕ, при стандартном уровне защиты;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размещение информации о ходе турнира в местных СМИ и в сети интернет, оформление игрового помещения рекламой и символикой спонсоров ФШР, местных спонсоров; изготовление баннеров и афиш с логотипами ФШР и спонсоров;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sz w:val="24"/>
          <w:szCs w:val="24"/>
        </w:rPr>
        <w:t>согласование использования логотипов ФШР или спонсоров ФШР</w:t>
      </w:r>
      <w:r w:rsidRPr="0040695C">
        <w:rPr>
          <w:color w:val="000000"/>
          <w:sz w:val="24"/>
          <w:szCs w:val="24"/>
        </w:rPr>
        <w:t>.</w:t>
      </w:r>
    </w:p>
    <w:p w:rsidR="00735F13" w:rsidRPr="0040695C" w:rsidRDefault="00735F13" w:rsidP="0041319B">
      <w:pPr>
        <w:widowControl w:val="0"/>
        <w:tabs>
          <w:tab w:val="left" w:pos="0"/>
        </w:tabs>
        <w:ind w:left="567"/>
        <w:jc w:val="both"/>
        <w:rPr>
          <w:b/>
          <w:color w:val="000000"/>
          <w:sz w:val="24"/>
          <w:szCs w:val="24"/>
          <w:lang w:eastAsia="zh-CN"/>
        </w:rPr>
      </w:pPr>
      <w:r w:rsidRPr="0040695C">
        <w:rPr>
          <w:color w:val="000000"/>
          <w:sz w:val="24"/>
          <w:szCs w:val="24"/>
          <w:lang w:eastAsia="zh-CN"/>
        </w:rPr>
        <w:t xml:space="preserve"> </w:t>
      </w:r>
      <w:r w:rsidRPr="0040695C">
        <w:rPr>
          <w:b/>
          <w:color w:val="000000"/>
          <w:sz w:val="24"/>
          <w:szCs w:val="24"/>
          <w:lang w:eastAsia="zh-CN"/>
        </w:rPr>
        <w:t>Цели Соревнований:</w:t>
      </w:r>
    </w:p>
    <w:p w:rsidR="00735F13" w:rsidRPr="003D2B12" w:rsidRDefault="00735F13" w:rsidP="0040695C">
      <w:pPr>
        <w:pStyle w:val="a"/>
        <w:rPr>
          <w:sz w:val="24"/>
          <w:szCs w:val="24"/>
        </w:rPr>
      </w:pPr>
      <w:r w:rsidRPr="003D2B12">
        <w:rPr>
          <w:sz w:val="24"/>
          <w:szCs w:val="24"/>
        </w:rPr>
        <w:t>популяризация и развитие блица в Санкт-Петербурге и Российской Федерации.</w:t>
      </w:r>
    </w:p>
    <w:p w:rsidR="00735F13" w:rsidRPr="0040695C" w:rsidRDefault="00735F13" w:rsidP="00A743E1">
      <w:pPr>
        <w:widowControl w:val="0"/>
        <w:tabs>
          <w:tab w:val="left" w:pos="0"/>
        </w:tabs>
        <w:ind w:left="567"/>
        <w:jc w:val="both"/>
        <w:rPr>
          <w:b/>
          <w:color w:val="000000"/>
          <w:sz w:val="24"/>
          <w:szCs w:val="24"/>
          <w:lang w:eastAsia="zh-CN"/>
        </w:rPr>
      </w:pPr>
      <w:r w:rsidRPr="0040695C">
        <w:rPr>
          <w:b/>
          <w:color w:val="000000"/>
          <w:sz w:val="24"/>
          <w:szCs w:val="24"/>
          <w:lang w:eastAsia="zh-CN"/>
        </w:rPr>
        <w:t>Задачи Соревнований:</w:t>
      </w:r>
    </w:p>
    <w:p w:rsidR="00735F13" w:rsidRPr="0040695C" w:rsidRDefault="00735F13" w:rsidP="0040695C">
      <w:pPr>
        <w:pStyle w:val="a"/>
      </w:pPr>
      <w:r w:rsidRPr="0040695C">
        <w:t>повышение спортивного мастерства шахматистов;</w:t>
      </w:r>
    </w:p>
    <w:p w:rsidR="00735F13" w:rsidRPr="0040695C" w:rsidRDefault="00735F13" w:rsidP="0040695C">
      <w:pPr>
        <w:pStyle w:val="a"/>
      </w:pPr>
      <w:r w:rsidRPr="0040695C">
        <w:t>выявление сильнейших шахматистов в субъектах Российской Федерации;</w:t>
      </w:r>
    </w:p>
    <w:p w:rsidR="00735F13" w:rsidRPr="0040695C" w:rsidRDefault="00735F13" w:rsidP="0040695C">
      <w:pPr>
        <w:pStyle w:val="a"/>
      </w:pPr>
      <w:r w:rsidRPr="0040695C">
        <w:t>определение кандидатов на участие в финале соревнований «БЛИЦ Гран-При России» 2023 года.</w:t>
      </w:r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ПРАВА И ОБЯЗАННОСТИ ОРГАНИЗАТОРОВ СОРЕВНОВАНИЙ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Общее руководство организацией Соревнований осуществляет Общероссийская общественная организация «Федерация шахмат России» (далее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ФШР).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Организатор Соревнований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Региональная общественная организация «Спортивная федерация шахмат Санкт-Петербурга» (далее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СФШ СПб).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Непосредственное проведение и первичный подсчет кубковых очков возлагается на СФШ СПб и главную судейскую коллегию, согласованную с ФШР.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Главный судья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международный арбитр, спортивный судья всероссийской категории </w:t>
      </w:r>
      <w:r>
        <w:rPr>
          <w:color w:val="000000"/>
          <w:sz w:val="24"/>
          <w:szCs w:val="24"/>
        </w:rPr>
        <w:t>Москвин</w:t>
      </w:r>
      <w:r w:rsidRPr="004069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Алексей</w:t>
      </w:r>
      <w:r w:rsidRPr="004069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Станислав</w:t>
      </w:r>
      <w:r w:rsidRPr="0040695C">
        <w:rPr>
          <w:color w:val="000000"/>
          <w:sz w:val="24"/>
          <w:szCs w:val="24"/>
        </w:rPr>
        <w:t>ович (</w:t>
      </w:r>
      <w:r>
        <w:rPr>
          <w:color w:val="000000"/>
          <w:sz w:val="24"/>
          <w:szCs w:val="24"/>
        </w:rPr>
        <w:t>Ярославская область</w:t>
      </w:r>
      <w:r w:rsidRPr="0040695C">
        <w:rPr>
          <w:color w:val="000000"/>
          <w:sz w:val="24"/>
          <w:szCs w:val="24"/>
        </w:rPr>
        <w:t>).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Председатель Комиссии по допуску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Посошков Игорь Дмитриевич (г.</w:t>
      </w:r>
      <w:r w:rsidRPr="001E6852">
        <w:rPr>
          <w:color w:val="000000"/>
          <w:sz w:val="24"/>
          <w:szCs w:val="24"/>
        </w:rPr>
        <w:t> </w:t>
      </w:r>
      <w:r w:rsidRPr="0040695C">
        <w:rPr>
          <w:color w:val="000000"/>
          <w:sz w:val="24"/>
          <w:szCs w:val="24"/>
        </w:rPr>
        <w:t>Санкт-Петербург).</w:t>
      </w:r>
    </w:p>
    <w:p w:rsidR="00735F13" w:rsidRPr="0040695C" w:rsidRDefault="00735F13" w:rsidP="00AE41B8">
      <w:pPr>
        <w:pStyle w:val="a0"/>
        <w:ind w:left="0" w:firstLine="709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ОБЕСПЕЧЕНИЕ БЕЗОПАСНОСТИ УЧАСТНИКОВ И ЗРИТЕЛЕЙ, МЕДИЦИНСКОЕ ОБЕСПЕЧЕНИЕ, АНТИДОПИНГОВОЕ ОБЕСПЕЧЕНИЕ СОРЕВНОВАНИЙ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 и </w:t>
      </w:r>
      <w:r w:rsidRPr="0040695C">
        <w:rPr>
          <w:sz w:val="24"/>
          <w:szCs w:val="24"/>
        </w:rPr>
        <w:t xml:space="preserve">требованиям </w:t>
      </w:r>
      <w:hyperlink r:id="rId9" w:history="1">
        <w:r w:rsidRPr="0040695C">
          <w:rPr>
            <w:rStyle w:val="Hyperlink"/>
            <w:sz w:val="24"/>
            <w:szCs w:val="24"/>
          </w:rPr>
          <w:t>Положения</w:t>
        </w:r>
      </w:hyperlink>
      <w:r w:rsidRPr="0040695C">
        <w:rPr>
          <w:sz w:val="24"/>
          <w:szCs w:val="24"/>
        </w:rPr>
        <w:t xml:space="preserve"> о межрегиональных  и всероссийских и официальных спортивных соревнованиях по шахматам на 2023 год.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Ответственным за обеспечение безопасности участников и зрителей в игровой зоне является главный судья Соревнований. Ответственные за безопасность несовершеннолетних участников вне игровой зоны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сопровождающие лица.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 октября </w:t>
      </w:r>
      <w:smartTag w:uri="urn:schemas-microsoft-com:office:smarttags" w:element="metricconverter">
        <w:smartTagPr>
          <w:attr w:name="ProductID" w:val="2020 г"/>
        </w:smartTagPr>
        <w:r w:rsidRPr="0040695C">
          <w:rPr>
            <w:color w:val="000000"/>
            <w:sz w:val="24"/>
            <w:szCs w:val="24"/>
          </w:rPr>
          <w:t>2020 г</w:t>
        </w:r>
      </w:smartTag>
      <w:r w:rsidRPr="0040695C">
        <w:rPr>
          <w:color w:val="000000"/>
          <w:sz w:val="24"/>
          <w:szCs w:val="24"/>
        </w:rPr>
        <w:t>. № 1114н «О порядке организации медицинской помощи лицам, занимающимся физической культурой и спортом, (в том числе,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мероприятиях.</w:t>
      </w:r>
    </w:p>
    <w:p w:rsidR="00735F13" w:rsidRPr="0040695C" w:rsidRDefault="00735F13" w:rsidP="00560821">
      <w:pPr>
        <w:ind w:firstLine="709"/>
        <w:jc w:val="both"/>
        <w:rPr>
          <w:color w:val="000000"/>
          <w:sz w:val="24"/>
          <w:szCs w:val="24"/>
        </w:rPr>
      </w:pPr>
      <w:r w:rsidRPr="0040695C">
        <w:rPr>
          <w:sz w:val="24"/>
          <w:szCs w:val="24"/>
        </w:rPr>
        <w:t xml:space="preserve">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допускающий его (ее) </w:t>
      </w:r>
      <w:r w:rsidRPr="0040695C">
        <w:rPr>
          <w:color w:val="000000"/>
          <w:sz w:val="24"/>
          <w:szCs w:val="24"/>
        </w:rPr>
        <w:t>участие.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Основанием для допуска спортсмена к Соревнованиям по медицинским заключениям является заявка (Приложение №1) на участие в Соревнованиях с отметкой «Допущен», заверенная подписью врача по спортивной медицине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</w:t>
      </w:r>
    </w:p>
    <w:p w:rsidR="00735F13" w:rsidRPr="0040695C" w:rsidRDefault="00735F13" w:rsidP="00C165A2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РОО «СФШ СПб» обеспечивает участников Соревнований: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  <w:lang w:eastAsia="en-US"/>
        </w:rPr>
      </w:pPr>
      <w:r w:rsidRPr="0040695C">
        <w:rPr>
          <w:color w:val="000000"/>
          <w:sz w:val="24"/>
          <w:szCs w:val="24"/>
          <w:lang w:eastAsia="en-US"/>
        </w:rPr>
        <w:t>медицинским персоналом для оказания первой помощи участникам Соревнований непосредственно на месте Соревнований;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  <w:lang w:eastAsia="en-US"/>
        </w:rPr>
      </w:pPr>
      <w:r w:rsidRPr="0040695C">
        <w:rPr>
          <w:color w:val="000000"/>
          <w:sz w:val="24"/>
          <w:szCs w:val="24"/>
          <w:lang w:eastAsia="en-US"/>
        </w:rPr>
        <w:t>наблюдением за выполнением санитарно-гигиенических требований при проведении Соревнований;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  <w:lang w:eastAsia="en-US"/>
        </w:rPr>
      </w:pPr>
      <w:r w:rsidRPr="0040695C">
        <w:rPr>
          <w:color w:val="000000"/>
          <w:sz w:val="24"/>
          <w:szCs w:val="24"/>
          <w:lang w:eastAsia="en-US"/>
        </w:rPr>
        <w:t>контролем над состоянием здоровья участников Соревнований и проверки правильности оформления допуска участников к Соревнованиям</w:t>
      </w:r>
      <w:r w:rsidRPr="0040695C" w:rsidDel="002019B7">
        <w:rPr>
          <w:color w:val="000000"/>
          <w:sz w:val="24"/>
          <w:szCs w:val="24"/>
          <w:lang w:eastAsia="en-US"/>
        </w:rPr>
        <w:t xml:space="preserve"> </w:t>
      </w:r>
      <w:r w:rsidRPr="0040695C">
        <w:rPr>
          <w:color w:val="000000"/>
          <w:sz w:val="24"/>
          <w:szCs w:val="24"/>
          <w:lang w:eastAsia="en-US"/>
        </w:rPr>
        <w:t>(по состоянию здоровья).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sz w:val="24"/>
          <w:szCs w:val="24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(РОО «СФШ СПб»). Медицинский регламент Соревнований может быть изменён в зависимости от эпидемиологической ситуации в Санкт-Петербурге и по Постановлению Губернатора Санкт-Петербурга.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Антидопинговое обеспечение Соревнований осуществляется в соответствии с Приказом Министерства Спорта РФ от 24 июня 2021 года №464 «Об утверждении Общероссийских антидопинговых правил».</w:t>
      </w:r>
    </w:p>
    <w:p w:rsidR="00735F13" w:rsidRPr="0040695C" w:rsidRDefault="00735F13" w:rsidP="00A71AD7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ОБЩИЕ СВЕДЕНИЯ О СОРЕВНОВАНИЯХ</w:t>
      </w:r>
    </w:p>
    <w:p w:rsidR="00735F13" w:rsidRPr="0040695C" w:rsidRDefault="00735F13">
      <w:pPr>
        <w:pStyle w:val="ListParagraph"/>
        <w:keepNext/>
        <w:jc w:val="both"/>
        <w:outlineLvl w:val="0"/>
        <w:rPr>
          <w:b/>
          <w:bCs/>
          <w:color w:val="000000"/>
          <w:sz w:val="24"/>
          <w:szCs w:val="24"/>
        </w:rPr>
      </w:pPr>
      <w:r w:rsidRPr="0040695C">
        <w:rPr>
          <w:b/>
          <w:color w:val="000000"/>
          <w:sz w:val="24"/>
          <w:szCs w:val="24"/>
        </w:rPr>
        <w:t>Место и сроки проведения</w:t>
      </w:r>
    </w:p>
    <w:p w:rsidR="00735F13" w:rsidRPr="00B739DE" w:rsidRDefault="00735F13" w:rsidP="004D32A3">
      <w:pPr>
        <w:widowControl w:val="0"/>
        <w:ind w:firstLine="360"/>
        <w:jc w:val="both"/>
        <w:outlineLvl w:val="1"/>
        <w:rPr>
          <w:sz w:val="24"/>
          <w:szCs w:val="24"/>
        </w:rPr>
      </w:pPr>
      <w:r w:rsidRPr="00B739DE">
        <w:rPr>
          <w:color w:val="000000"/>
          <w:sz w:val="24"/>
          <w:szCs w:val="24"/>
        </w:rPr>
        <w:t>Соревнования проводятся 2</w:t>
      </w:r>
      <w:r>
        <w:rPr>
          <w:color w:val="000000"/>
          <w:sz w:val="24"/>
          <w:szCs w:val="24"/>
        </w:rPr>
        <w:t>0</w:t>
      </w:r>
      <w:r w:rsidRPr="00B739DE">
        <w:rPr>
          <w:color w:val="000000"/>
          <w:sz w:val="24"/>
          <w:szCs w:val="24"/>
        </w:rPr>
        <w:t xml:space="preserve"> октября (день приезда, проведение </w:t>
      </w:r>
      <w:r>
        <w:rPr>
          <w:color w:val="000000"/>
          <w:sz w:val="24"/>
          <w:szCs w:val="24"/>
        </w:rPr>
        <w:t>Соревнований</w:t>
      </w:r>
      <w:r w:rsidRPr="00B739DE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–</w:t>
      </w:r>
      <w:r w:rsidRPr="004A2522">
        <w:rPr>
          <w:color w:val="000000"/>
          <w:sz w:val="24"/>
          <w:szCs w:val="24"/>
        </w:rPr>
        <w:t xml:space="preserve"> </w:t>
      </w:r>
      <w:r w:rsidRPr="00B739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 w:rsidRPr="00B739DE">
        <w:rPr>
          <w:color w:val="000000"/>
          <w:sz w:val="24"/>
          <w:szCs w:val="24"/>
        </w:rPr>
        <w:t xml:space="preserve"> октября (день отъезда) 202</w:t>
      </w:r>
      <w:r>
        <w:rPr>
          <w:color w:val="000000"/>
          <w:sz w:val="24"/>
          <w:szCs w:val="24"/>
        </w:rPr>
        <w:t>3</w:t>
      </w:r>
      <w:r w:rsidRPr="00B739DE">
        <w:rPr>
          <w:color w:val="000000"/>
          <w:sz w:val="24"/>
          <w:szCs w:val="24"/>
        </w:rPr>
        <w:t xml:space="preserve"> года в г. Санкт-Петербурге. </w:t>
      </w:r>
      <w:r w:rsidRPr="00B739DE">
        <w:rPr>
          <w:sz w:val="24"/>
          <w:szCs w:val="24"/>
        </w:rPr>
        <w:t>Место проведения – отель «Парк Крестовский» (м. «Крестовский остров», Северная дорога, д. 12).</w:t>
      </w:r>
    </w:p>
    <w:p w:rsidR="00735F13" w:rsidRPr="00B739DE" w:rsidRDefault="00735F13" w:rsidP="004D32A3">
      <w:pPr>
        <w:ind w:firstLine="360"/>
        <w:contextualSpacing/>
        <w:jc w:val="both"/>
        <w:outlineLvl w:val="1"/>
        <w:rPr>
          <w:color w:val="000000"/>
          <w:sz w:val="24"/>
          <w:szCs w:val="24"/>
        </w:rPr>
      </w:pPr>
      <w:r w:rsidRPr="00B739DE">
        <w:rPr>
          <w:color w:val="000000"/>
          <w:sz w:val="24"/>
          <w:szCs w:val="24"/>
        </w:rPr>
        <w:t>Открытие Соревнований – 1</w:t>
      </w:r>
      <w:r>
        <w:rPr>
          <w:color w:val="000000"/>
          <w:sz w:val="24"/>
          <w:szCs w:val="24"/>
        </w:rPr>
        <w:t>7</w:t>
      </w:r>
      <w:r w:rsidRPr="00B739DE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55</w:t>
      </w:r>
      <w:r w:rsidRPr="00B739DE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>0</w:t>
      </w:r>
      <w:r w:rsidRPr="00B739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октября</w:t>
      </w:r>
      <w:r w:rsidRPr="00B739DE">
        <w:rPr>
          <w:color w:val="000000"/>
          <w:sz w:val="24"/>
          <w:szCs w:val="24"/>
        </w:rPr>
        <w:t xml:space="preserve">, закрытие Соревнований – в 21:30. </w:t>
      </w:r>
    </w:p>
    <w:p w:rsidR="00735F13" w:rsidRDefault="00735F13" w:rsidP="004D32A3">
      <w:pPr>
        <w:pStyle w:val="a5"/>
        <w:rPr>
          <w:b/>
          <w:color w:val="000000"/>
          <w:sz w:val="24"/>
          <w:szCs w:val="24"/>
        </w:rPr>
      </w:pPr>
    </w:p>
    <w:p w:rsidR="00735F13" w:rsidRPr="0040695C" w:rsidRDefault="00735F13" w:rsidP="004D32A3">
      <w:pPr>
        <w:pStyle w:val="a5"/>
        <w:rPr>
          <w:b/>
          <w:sz w:val="24"/>
          <w:szCs w:val="24"/>
        </w:rPr>
      </w:pPr>
      <w:r w:rsidRPr="0040695C">
        <w:rPr>
          <w:b/>
          <w:sz w:val="24"/>
          <w:szCs w:val="24"/>
        </w:rPr>
        <w:t>Расписание Соревнований:</w:t>
      </w:r>
    </w:p>
    <w:tbl>
      <w:tblPr>
        <w:tblW w:w="0" w:type="auto"/>
        <w:tblLook w:val="00A0"/>
      </w:tblPr>
      <w:tblGrid>
        <w:gridCol w:w="1526"/>
        <w:gridCol w:w="6804"/>
      </w:tblGrid>
      <w:tr w:rsidR="00735F13" w:rsidRPr="00994E9A" w:rsidTr="00345CDC">
        <w:tc>
          <w:tcPr>
            <w:tcW w:w="1526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0695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0695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735F13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приезда</w:t>
            </w:r>
          </w:p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40695C">
              <w:rPr>
                <w:color w:val="000000"/>
                <w:sz w:val="24"/>
                <w:szCs w:val="24"/>
              </w:rPr>
              <w:t xml:space="preserve">:30 </w:t>
            </w:r>
            <w:r w:rsidRPr="001E6852">
              <w:rPr>
                <w:color w:val="000000"/>
                <w:sz w:val="24"/>
                <w:szCs w:val="24"/>
              </w:rPr>
              <w:t>–</w:t>
            </w:r>
            <w:r w:rsidRPr="0040695C">
              <w:rPr>
                <w:color w:val="000000"/>
                <w:sz w:val="24"/>
                <w:szCs w:val="24"/>
              </w:rPr>
              <w:t xml:space="preserve"> Заседание судейской коллегии</w:t>
            </w:r>
          </w:p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0695C">
              <w:rPr>
                <w:color w:val="000000"/>
                <w:sz w:val="24"/>
                <w:szCs w:val="24"/>
              </w:rPr>
              <w:t xml:space="preserve">:00 </w:t>
            </w:r>
            <w:r w:rsidRPr="001E6852">
              <w:rPr>
                <w:color w:val="000000"/>
                <w:sz w:val="24"/>
                <w:szCs w:val="24"/>
              </w:rPr>
              <w:t>–</w:t>
            </w:r>
            <w:r w:rsidRPr="0040695C">
              <w:rPr>
                <w:color w:val="000000"/>
                <w:sz w:val="24"/>
                <w:szCs w:val="24"/>
              </w:rPr>
              <w:t xml:space="preserve"> 17: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0695C">
              <w:rPr>
                <w:color w:val="000000"/>
                <w:sz w:val="24"/>
                <w:szCs w:val="24"/>
              </w:rPr>
              <w:t xml:space="preserve">0 Регистрация участников, работа комиссии по допуску. </w:t>
            </w:r>
          </w:p>
        </w:tc>
      </w:tr>
      <w:tr w:rsidR="00735F13" w:rsidRPr="00994E9A" w:rsidTr="00345CDC">
        <w:tc>
          <w:tcPr>
            <w:tcW w:w="1526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17: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40695C">
              <w:rPr>
                <w:color w:val="000000"/>
                <w:sz w:val="24"/>
                <w:szCs w:val="24"/>
              </w:rPr>
              <w:t xml:space="preserve"> </w:t>
            </w:r>
            <w:r w:rsidRPr="001E6852">
              <w:rPr>
                <w:color w:val="000000"/>
                <w:sz w:val="24"/>
                <w:szCs w:val="24"/>
              </w:rPr>
              <w:t>–</w:t>
            </w:r>
            <w:r w:rsidRPr="0040695C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0695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55</w:t>
            </w:r>
            <w:r w:rsidRPr="0040695C">
              <w:rPr>
                <w:color w:val="000000"/>
                <w:sz w:val="24"/>
                <w:szCs w:val="24"/>
              </w:rPr>
              <w:t xml:space="preserve"> Техническое совещание, жеребьёвка.</w:t>
            </w:r>
          </w:p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40695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55</w:t>
            </w:r>
            <w:r w:rsidRPr="0040695C">
              <w:rPr>
                <w:color w:val="000000"/>
                <w:sz w:val="24"/>
                <w:szCs w:val="24"/>
              </w:rPr>
              <w:t xml:space="preserve"> </w:t>
            </w:r>
            <w:r w:rsidRPr="001E6852">
              <w:rPr>
                <w:color w:val="000000"/>
                <w:sz w:val="24"/>
                <w:szCs w:val="24"/>
              </w:rPr>
              <w:t>–</w:t>
            </w:r>
            <w:r w:rsidRPr="0040695C">
              <w:rPr>
                <w:color w:val="000000"/>
                <w:sz w:val="24"/>
                <w:szCs w:val="24"/>
              </w:rPr>
              <w:t xml:space="preserve"> Открытие Соревнований</w:t>
            </w:r>
          </w:p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с 18:00 </w:t>
            </w:r>
            <w:r w:rsidRPr="001E6852">
              <w:rPr>
                <w:color w:val="000000"/>
                <w:sz w:val="24"/>
                <w:szCs w:val="24"/>
              </w:rPr>
              <w:t>–</w:t>
            </w:r>
            <w:r w:rsidRPr="0040695C">
              <w:rPr>
                <w:color w:val="000000"/>
                <w:sz w:val="24"/>
                <w:szCs w:val="24"/>
              </w:rPr>
              <w:t xml:space="preserve"> 1-11 туры</w:t>
            </w:r>
          </w:p>
        </w:tc>
      </w:tr>
      <w:tr w:rsidR="00735F13" w:rsidRPr="00994E9A" w:rsidTr="00345CDC">
        <w:tc>
          <w:tcPr>
            <w:tcW w:w="1526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21:30 </w:t>
            </w:r>
            <w:r w:rsidRPr="001E6852">
              <w:rPr>
                <w:color w:val="000000"/>
                <w:sz w:val="24"/>
                <w:szCs w:val="24"/>
              </w:rPr>
              <w:t>–</w:t>
            </w:r>
            <w:r w:rsidRPr="0040695C">
              <w:rPr>
                <w:color w:val="000000"/>
                <w:sz w:val="24"/>
                <w:szCs w:val="24"/>
              </w:rPr>
              <w:t xml:space="preserve"> Закрытие Соревнований, выдача призов</w:t>
            </w:r>
          </w:p>
        </w:tc>
      </w:tr>
      <w:tr w:rsidR="00735F13" w:rsidRPr="00994E9A" w:rsidTr="00345CDC">
        <w:tc>
          <w:tcPr>
            <w:tcW w:w="1526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0695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0695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735F13" w:rsidRPr="0040695C" w:rsidRDefault="00735F13" w:rsidP="00A933F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День отъезда</w:t>
            </w:r>
          </w:p>
        </w:tc>
      </w:tr>
    </w:tbl>
    <w:p w:rsidR="00735F13" w:rsidRDefault="00735F13" w:rsidP="00954FD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Соревнования проводятся по </w:t>
      </w:r>
      <w:bookmarkStart w:id="0" w:name="_Hlk136729724"/>
      <w:r w:rsidRPr="0040695C">
        <w:rPr>
          <w:rStyle w:val="Hyperlink"/>
          <w:sz w:val="24"/>
          <w:szCs w:val="24"/>
        </w:rPr>
        <w:fldChar w:fldCharType="begin"/>
      </w:r>
      <w:r w:rsidRPr="0040695C">
        <w:rPr>
          <w:rStyle w:val="Hyperlink"/>
          <w:sz w:val="24"/>
          <w:szCs w:val="24"/>
        </w:rPr>
        <w:instrText xml:space="preserve"> HYPERLINK "https://ruchess.ru/upload/iblock/1f2/82jsd56fpog5oef4zqorc6niqgx8558v/Pravila-vida-sporta-SHakhmaty.pdf" </w:instrText>
      </w:r>
      <w:r w:rsidRPr="00911D54">
        <w:rPr>
          <w:color w:val="0000FF"/>
          <w:sz w:val="24"/>
          <w:szCs w:val="24"/>
          <w:u w:val="single"/>
        </w:rPr>
      </w:r>
      <w:r w:rsidRPr="0040695C">
        <w:rPr>
          <w:rStyle w:val="Hyperlink"/>
          <w:sz w:val="24"/>
          <w:szCs w:val="24"/>
        </w:rPr>
        <w:fldChar w:fldCharType="separate"/>
      </w:r>
      <w:r w:rsidRPr="0040695C">
        <w:rPr>
          <w:rStyle w:val="Hyperlink"/>
          <w:sz w:val="24"/>
          <w:szCs w:val="24"/>
        </w:rPr>
        <w:t>Правилам</w:t>
      </w:r>
      <w:r w:rsidRPr="0040695C">
        <w:rPr>
          <w:rStyle w:val="Hyperlink"/>
          <w:sz w:val="24"/>
          <w:szCs w:val="24"/>
        </w:rPr>
        <w:fldChar w:fldCharType="end"/>
      </w:r>
      <w:r w:rsidRPr="0040695C">
        <w:rPr>
          <w:sz w:val="24"/>
          <w:szCs w:val="24"/>
        </w:rPr>
        <w:t xml:space="preserve"> вида спорта «шахматы», утвержденным приказом Минспорта России №</w:t>
      </w:r>
      <w:r>
        <w:rPr>
          <w:sz w:val="24"/>
          <w:szCs w:val="24"/>
        </w:rPr>
        <w:t xml:space="preserve"> </w:t>
      </w:r>
      <w:r w:rsidRPr="0040695C">
        <w:rPr>
          <w:sz w:val="24"/>
          <w:szCs w:val="24"/>
        </w:rPr>
        <w:t>988 от 29.12.2020 (с изменениями, внесенными приказами Министерства спорта Российской Федерации от 10 апреля 2023 г. № 243, от 11 мая 2023 г. № 315</w:t>
      </w:r>
      <w:r>
        <w:rPr>
          <w:sz w:val="24"/>
          <w:szCs w:val="24"/>
        </w:rPr>
        <w:t xml:space="preserve"> – далее Правила</w:t>
      </w:r>
      <w:r w:rsidRPr="0040695C">
        <w:rPr>
          <w:sz w:val="24"/>
          <w:szCs w:val="24"/>
        </w:rPr>
        <w:t>)</w:t>
      </w:r>
      <w:bookmarkEnd w:id="0"/>
      <w:r w:rsidRPr="0040695C">
        <w:rPr>
          <w:color w:val="000000"/>
          <w:sz w:val="24"/>
          <w:szCs w:val="24"/>
        </w:rPr>
        <w:t xml:space="preserve">, и не противоречащими </w:t>
      </w:r>
      <w:hyperlink r:id="rId10" w:history="1">
        <w:r w:rsidRPr="0040695C">
          <w:rPr>
            <w:rStyle w:val="Hyperlink"/>
            <w:sz w:val="24"/>
            <w:szCs w:val="24"/>
          </w:rPr>
          <w:t>Правилам</w:t>
        </w:r>
      </w:hyperlink>
      <w:r w:rsidRPr="0040695C">
        <w:rPr>
          <w:color w:val="000000"/>
          <w:sz w:val="24"/>
          <w:szCs w:val="24"/>
        </w:rPr>
        <w:t xml:space="preserve"> игры в шахматы ФИДЕ.</w:t>
      </w:r>
    </w:p>
    <w:p w:rsidR="00735F13" w:rsidRDefault="00735F13" w:rsidP="009D478B">
      <w:pPr>
        <w:pStyle w:val="a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Pr="009D478B">
        <w:rPr>
          <w:color w:val="000000"/>
          <w:sz w:val="24"/>
          <w:szCs w:val="24"/>
        </w:rPr>
        <w:t>течение всего соревнования</w:t>
      </w:r>
      <w:r>
        <w:rPr>
          <w:color w:val="000000"/>
          <w:sz w:val="24"/>
          <w:szCs w:val="24"/>
        </w:rPr>
        <w:t xml:space="preserve"> </w:t>
      </w:r>
      <w:r w:rsidRPr="009D478B">
        <w:rPr>
          <w:color w:val="000000"/>
          <w:sz w:val="24"/>
          <w:szCs w:val="24"/>
        </w:rPr>
        <w:t>буд</w:t>
      </w:r>
      <w:r>
        <w:rPr>
          <w:color w:val="000000"/>
          <w:sz w:val="24"/>
          <w:szCs w:val="24"/>
        </w:rPr>
        <w:t>е</w:t>
      </w:r>
      <w:r w:rsidRPr="009D478B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применяться с</w:t>
      </w:r>
      <w:r w:rsidRPr="009D478B">
        <w:rPr>
          <w:color w:val="000000"/>
          <w:sz w:val="24"/>
          <w:szCs w:val="24"/>
        </w:rPr>
        <w:t>тать</w:t>
      </w:r>
      <w:r>
        <w:rPr>
          <w:color w:val="000000"/>
          <w:sz w:val="24"/>
          <w:szCs w:val="24"/>
        </w:rPr>
        <w:t xml:space="preserve">я </w:t>
      </w:r>
      <w:bookmarkStart w:id="1" w:name="_GoBack"/>
      <w:bookmarkEnd w:id="1"/>
      <w:r w:rsidRPr="009D478B">
        <w:rPr>
          <w:color w:val="000000"/>
          <w:sz w:val="24"/>
          <w:szCs w:val="24"/>
        </w:rPr>
        <w:t>14.4.</w:t>
      </w:r>
      <w:r>
        <w:rPr>
          <w:color w:val="000000"/>
          <w:sz w:val="24"/>
          <w:szCs w:val="24"/>
        </w:rPr>
        <w:t xml:space="preserve"> Правил.</w:t>
      </w:r>
    </w:p>
    <w:p w:rsidR="00735F13" w:rsidRPr="0040695C" w:rsidRDefault="00735F13" w:rsidP="00FE0C08">
      <w:pPr>
        <w:pStyle w:val="a5"/>
        <w:rPr>
          <w:color w:val="000000"/>
          <w:sz w:val="24"/>
          <w:szCs w:val="24"/>
        </w:rPr>
      </w:pPr>
      <w:r w:rsidRPr="009D478B">
        <w:rPr>
          <w:color w:val="000000"/>
          <w:sz w:val="24"/>
          <w:szCs w:val="24"/>
        </w:rPr>
        <w:t>В соответствии с п. 32.5</w:t>
      </w:r>
      <w:r w:rsidRPr="009D478B">
        <w:rPr>
          <w:b/>
          <w:color w:val="000000"/>
          <w:sz w:val="24"/>
          <w:szCs w:val="24"/>
        </w:rPr>
        <w:t xml:space="preserve"> </w:t>
      </w:r>
      <w:r w:rsidRPr="009D478B">
        <w:rPr>
          <w:color w:val="000000"/>
          <w:sz w:val="24"/>
          <w:szCs w:val="24"/>
        </w:rPr>
        <w:t>Правил, по окончании партии арбитр</w:t>
      </w:r>
      <w:r w:rsidRPr="00FE0C08">
        <w:rPr>
          <w:color w:val="000000"/>
          <w:sz w:val="24"/>
          <w:szCs w:val="24"/>
        </w:rPr>
        <w:t xml:space="preserve"> или игроки должны разместить королей в центре доски соответствующим образом, тем самым указав результат партии.</w:t>
      </w:r>
      <w:r>
        <w:rPr>
          <w:color w:val="000000"/>
          <w:sz w:val="24"/>
          <w:szCs w:val="24"/>
        </w:rPr>
        <w:t xml:space="preserve"> Если игроки не сообщили результат для протокола, то этот, выставленный результат, должен быть использован для проведения жеребьевки очередного тура.</w:t>
      </w:r>
    </w:p>
    <w:p w:rsidR="00735F13" w:rsidRPr="0040695C" w:rsidRDefault="00735F13" w:rsidP="00BB5323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>Соревнования проводятся в 11 туров по швейцарской системе с применением программы Swiss Manager. Контроль времени: 3 минуты до конца партии с добавлением 2 секунд на каждый ход, начиная с первого, каждому участнику, на электронных часах марки DGT. По желанию организаторов партии могут транслироваться online.</w:t>
      </w:r>
    </w:p>
    <w:p w:rsidR="00735F13" w:rsidRPr="0040695C" w:rsidRDefault="00735F13" w:rsidP="00954FD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Участнику, опоздавшему к началу тура более чем на 3 минуты, засчитывается поражение.</w:t>
      </w:r>
    </w:p>
    <w:p w:rsidR="00735F13" w:rsidRPr="0040695C" w:rsidRDefault="00735F13" w:rsidP="009925A1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Поведение участников регламентируется в соответствии с </w:t>
      </w:r>
      <w:hyperlink r:id="rId11" w:history="1">
        <w:r w:rsidRPr="0040695C">
          <w:rPr>
            <w:rStyle w:val="Hyperlink"/>
            <w:sz w:val="24"/>
            <w:szCs w:val="24"/>
          </w:rPr>
          <w:t>Положением</w:t>
        </w:r>
      </w:hyperlink>
      <w:r w:rsidRPr="0040695C">
        <w:rPr>
          <w:color w:val="000000"/>
          <w:sz w:val="24"/>
          <w:szCs w:val="24"/>
        </w:rP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</w:t>
      </w:r>
      <w:r>
        <w:rPr>
          <w:color w:val="000000"/>
          <w:sz w:val="24"/>
          <w:szCs w:val="24"/>
        </w:rPr>
        <w:t xml:space="preserve"> </w:t>
      </w:r>
      <w:r w:rsidRPr="0040695C">
        <w:rPr>
          <w:color w:val="000000"/>
          <w:sz w:val="24"/>
          <w:szCs w:val="24"/>
        </w:rPr>
        <w:t>6-12.2019 от 07.12.2019 г.</w:t>
      </w:r>
    </w:p>
    <w:p w:rsidR="00735F13" w:rsidRPr="0040695C" w:rsidRDefault="00735F13" w:rsidP="009925A1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Соревнования проводятся с обсчетом российского рейтинга и рейтинга ФИДЕ.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Для рассмотрения протестов на техническом совещании избирается апелляционный комитет из 3 основных и 2 запасных членов. Апелляция на решение главного судьи может быть подана участником в письменном виде в течение 5 минут после окончания тура с залоговым депозитом в сумме 1000 рублей. Залоговый депозит возвращается в случае признания апелляции обоснованной. В случае признания апелляции необоснованной депозит поступает в СФШ СПб и используется на организационные расходы. Порядок подачи и рассмотрения протестов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согласно правилам вида спорта «шахматы». </w:t>
      </w:r>
      <w:r w:rsidRPr="0040695C">
        <w:rPr>
          <w:sz w:val="24"/>
          <w:szCs w:val="24"/>
        </w:rPr>
        <w:t>Протесты на компьютерную жеребьевку не принимаются.</w:t>
      </w:r>
      <w:r w:rsidRPr="0040695C">
        <w:rPr>
          <w:color w:val="000000"/>
          <w:sz w:val="24"/>
          <w:szCs w:val="24"/>
        </w:rPr>
        <w:t xml:space="preserve"> Решение Апелляционного комитета является окончательным.</w:t>
      </w:r>
    </w:p>
    <w:p w:rsidR="00735F13" w:rsidRPr="0040695C" w:rsidRDefault="00735F13" w:rsidP="00AE41B8">
      <w:pPr>
        <w:pStyle w:val="a0"/>
        <w:ind w:left="0" w:firstLine="357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ТРЕБОВАНИЯ К УЧАСТНИКАМ СОРЕВНОВАНИЙ И УСЛОВИЯ ИХ ДОПУСКА</w:t>
      </w:r>
    </w:p>
    <w:p w:rsidR="00735F13" w:rsidRPr="0040695C" w:rsidRDefault="00735F13" w:rsidP="009A26CE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К участию в Соревнованиях допускаются квалифицированные шахматисты в соответствии с требованиями </w:t>
      </w:r>
      <w:hyperlink r:id="rId12" w:history="1">
        <w:r w:rsidRPr="0040695C">
          <w:rPr>
            <w:rStyle w:val="Hyperlink"/>
            <w:sz w:val="24"/>
            <w:szCs w:val="24"/>
          </w:rPr>
          <w:t>Положения</w:t>
        </w:r>
      </w:hyperlink>
      <w:r w:rsidRPr="0040695C">
        <w:rPr>
          <w:color w:val="000000"/>
          <w:sz w:val="24"/>
          <w:szCs w:val="24"/>
        </w:rPr>
        <w:t xml:space="preserve"> о межрегиональных </w:t>
      </w:r>
      <w:r w:rsidRPr="0040695C">
        <w:rPr>
          <w:sz w:val="24"/>
          <w:szCs w:val="24"/>
        </w:rPr>
        <w:t xml:space="preserve">и всероссийских </w:t>
      </w:r>
      <w:bookmarkStart w:id="2" w:name="_Hlk138067691"/>
      <w:r w:rsidRPr="0040695C">
        <w:rPr>
          <w:sz w:val="24"/>
          <w:szCs w:val="24"/>
        </w:rPr>
        <w:t>официальных спортивных соревнованиях</w:t>
      </w:r>
      <w:bookmarkEnd w:id="2"/>
      <w:r w:rsidRPr="0040695C" w:rsidDel="007310E3">
        <w:rPr>
          <w:sz w:val="24"/>
          <w:szCs w:val="24"/>
        </w:rPr>
        <w:t xml:space="preserve"> </w:t>
      </w:r>
      <w:r w:rsidRPr="0040695C">
        <w:rPr>
          <w:sz w:val="24"/>
          <w:szCs w:val="24"/>
        </w:rPr>
        <w:t xml:space="preserve">по шахматам </w:t>
      </w:r>
      <w:r w:rsidRPr="0040695C">
        <w:rPr>
          <w:color w:val="000000"/>
          <w:sz w:val="24"/>
          <w:szCs w:val="24"/>
        </w:rPr>
        <w:t>на 2023 год, утвержденных Министерством спорта Российской Федерации, уплатившие заявочный взнос в сроки и на условиях, указанных в данном Положении.</w:t>
      </w:r>
    </w:p>
    <w:p w:rsidR="00735F13" w:rsidRPr="0040695C" w:rsidRDefault="00735F13" w:rsidP="009A26CE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Опоздавшие участники, не зарегистрированные в установленный Положением срок, включаются в жеребьевку по решению главного судьи со 2-го тура (в первом туре такому участнику ставится минус).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Заявочный взнос: 1000 руб. </w:t>
      </w:r>
      <w:r>
        <w:rPr>
          <w:color w:val="000000"/>
          <w:sz w:val="24"/>
          <w:szCs w:val="24"/>
        </w:rPr>
        <w:t>Д</w:t>
      </w:r>
      <w:r w:rsidRPr="0040695C">
        <w:rPr>
          <w:color w:val="000000"/>
          <w:sz w:val="24"/>
          <w:szCs w:val="24"/>
        </w:rPr>
        <w:t xml:space="preserve">ля участников 1963 г.р. и старше, 2009 г.р. и младше и для женщин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500 руб.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Взносы оплачиваются по наличному или безналичному расчету по реквизитам.</w:t>
      </w:r>
    </w:p>
    <w:p w:rsidR="00735F13" w:rsidRPr="0040695C" w:rsidRDefault="00735F13" w:rsidP="00786544">
      <w:pPr>
        <w:widowControl w:val="0"/>
        <w:jc w:val="both"/>
        <w:rPr>
          <w:b/>
          <w:bCs/>
          <w:color w:val="000000"/>
          <w:sz w:val="24"/>
          <w:szCs w:val="24"/>
        </w:rPr>
      </w:pPr>
      <w:r w:rsidRPr="0040695C">
        <w:rPr>
          <w:b/>
          <w:bCs/>
          <w:color w:val="000000"/>
          <w:sz w:val="24"/>
          <w:szCs w:val="24"/>
        </w:rPr>
        <w:t>Реквизиты для оплаты:</w:t>
      </w:r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РОО «Спортивная федерация шахмат Санкт-Петербурга»</w:t>
      </w:r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Юр. адрес: 191014, г. Санкт-Петербург, Саперный пер. д.10, Лит. А пом. 5Н</w:t>
      </w:r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ИНН: </w:t>
      </w:r>
      <w:bookmarkStart w:id="3" w:name="_Hlk78642981"/>
      <w:r w:rsidRPr="0040695C">
        <w:rPr>
          <w:color w:val="000000"/>
          <w:sz w:val="24"/>
          <w:szCs w:val="24"/>
        </w:rPr>
        <w:t>7842290920</w:t>
      </w:r>
      <w:bookmarkEnd w:id="3"/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КПП: 784201001</w:t>
      </w:r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БИК: 044030704</w:t>
      </w:r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Расчетный счет: 40703810737000000285</w:t>
      </w:r>
    </w:p>
    <w:p w:rsidR="00735F13" w:rsidRPr="0040695C" w:rsidRDefault="00735F13" w:rsidP="00C66852">
      <w:pPr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Банк: Ф. ОПЕРУ Банка ВТБ (ПАО) в Санкт-Петербурге</w:t>
      </w:r>
    </w:p>
    <w:p w:rsidR="00735F13" w:rsidRPr="0040695C" w:rsidRDefault="00735F13" w:rsidP="00C66852">
      <w:pPr>
        <w:jc w:val="both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Корреспондентский счет: 30101810200000000704</w:t>
      </w:r>
    </w:p>
    <w:p w:rsidR="00735F13" w:rsidRPr="0040695C" w:rsidRDefault="00735F13" w:rsidP="00A12965">
      <w:pPr>
        <w:ind w:firstLine="360"/>
        <w:jc w:val="both"/>
        <w:rPr>
          <w:color w:val="000000"/>
          <w:sz w:val="24"/>
          <w:szCs w:val="24"/>
        </w:rPr>
      </w:pPr>
      <w:r w:rsidRPr="0040695C">
        <w:rPr>
          <w:b/>
          <w:color w:val="000000"/>
          <w:sz w:val="24"/>
          <w:szCs w:val="24"/>
        </w:rPr>
        <w:t>Внимание!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Для получения отчетных документов необходимо оплачивать проживание и заявочный взнос по безналичному расчету. Для получения счета на оплату или реквизитов обращайтесь к организаторам.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Если спортсмен отказывается от участия в Соревнованиях после оплаты взноса по причинам, не зависящим от организаторов, заявочный взнос ему не возвращается.</w:t>
      </w:r>
    </w:p>
    <w:p w:rsidR="00735F13" w:rsidRPr="0040695C" w:rsidRDefault="00735F13" w:rsidP="0041319B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документов ФИДЕ, организатор Соревнований СФШ СПб осуществляет сбор и обработку персональных данных его участников.</w:t>
      </w:r>
    </w:p>
    <w:p w:rsidR="00735F13" w:rsidRPr="0040695C" w:rsidRDefault="00735F13" w:rsidP="0041319B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Порядок и условия обработки персональных данных определены в </w:t>
      </w:r>
      <w:hyperlink r:id="rId13" w:history="1">
        <w:r w:rsidRPr="0040695C">
          <w:rPr>
            <w:rStyle w:val="Hyperlink"/>
            <w:sz w:val="24"/>
            <w:szCs w:val="24"/>
          </w:rPr>
          <w:t>Политике</w:t>
        </w:r>
      </w:hyperlink>
      <w:r w:rsidRPr="0040695C">
        <w:rPr>
          <w:color w:val="000000"/>
          <w:sz w:val="24"/>
          <w:szCs w:val="24"/>
        </w:rPr>
        <w:t xml:space="preserve"> ФШР в отношении обработки персональных данных, утвержденной решением Наблюдательного Совета ФШР, Протокол № 01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>01.2022 от 26 января 2022 г.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Действующая редакция </w:t>
      </w:r>
      <w:hyperlink r:id="rId14" w:history="1">
        <w:r w:rsidRPr="0040695C">
          <w:rPr>
            <w:rStyle w:val="Hyperlink"/>
            <w:sz w:val="24"/>
            <w:szCs w:val="24"/>
          </w:rPr>
          <w:t>Политики</w:t>
        </w:r>
      </w:hyperlink>
      <w:r w:rsidRPr="0040695C">
        <w:rPr>
          <w:color w:val="000000"/>
          <w:sz w:val="24"/>
          <w:szCs w:val="24"/>
        </w:rPr>
        <w:t xml:space="preserve"> постоянно доступна на официальном сайте по адресу: </w:t>
      </w:r>
      <w:hyperlink r:id="rId15" w:history="1">
        <w:r w:rsidRPr="0040695C">
          <w:rPr>
            <w:color w:val="0000FF"/>
            <w:sz w:val="24"/>
            <w:szCs w:val="24"/>
            <w:u w:val="single"/>
          </w:rPr>
          <w:t>https://ruchess.ru/federation/documents/</w:t>
        </w:r>
      </w:hyperlink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ПОДАЧА ЗАЯВОК НА УЧАСТИЕ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Участники направляют предварительные заявки в оргкомитет Соревнований до </w:t>
      </w:r>
      <w:r>
        <w:rPr>
          <w:color w:val="000000"/>
          <w:sz w:val="24"/>
          <w:szCs w:val="24"/>
        </w:rPr>
        <w:t>18</w:t>
      </w:r>
      <w:r w:rsidRPr="004069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октября</w:t>
      </w:r>
      <w:r w:rsidRPr="0040695C">
        <w:rPr>
          <w:color w:val="000000"/>
          <w:sz w:val="24"/>
          <w:szCs w:val="24"/>
        </w:rPr>
        <w:t xml:space="preserve"> 2023</w:t>
      </w:r>
      <w:r w:rsidRPr="001E6852">
        <w:rPr>
          <w:color w:val="000000"/>
          <w:sz w:val="24"/>
          <w:szCs w:val="24"/>
        </w:rPr>
        <w:t> </w:t>
      </w:r>
      <w:r w:rsidRPr="0040695C">
        <w:rPr>
          <w:color w:val="000000"/>
          <w:sz w:val="24"/>
          <w:szCs w:val="24"/>
        </w:rPr>
        <w:t xml:space="preserve">г. через форму на сайте </w:t>
      </w:r>
      <w:hyperlink r:id="rId16" w:history="1">
        <w:r w:rsidRPr="0040695C">
          <w:rPr>
            <w:rStyle w:val="Hyperlink"/>
            <w:sz w:val="24"/>
            <w:szCs w:val="24"/>
            <w:lang w:val="en-US"/>
          </w:rPr>
          <w:t>http</w:t>
        </w:r>
        <w:r w:rsidRPr="0040695C">
          <w:rPr>
            <w:rStyle w:val="Hyperlink"/>
            <w:sz w:val="24"/>
            <w:szCs w:val="24"/>
          </w:rPr>
          <w:t>://</w:t>
        </w:r>
        <w:r w:rsidRPr="0040695C">
          <w:rPr>
            <w:rStyle w:val="Hyperlink"/>
            <w:sz w:val="24"/>
            <w:szCs w:val="24"/>
            <w:lang w:val="en-US"/>
          </w:rPr>
          <w:t>spbchesstournaments</w:t>
        </w:r>
        <w:r w:rsidRPr="0040695C">
          <w:rPr>
            <w:rStyle w:val="Hyperlink"/>
            <w:sz w:val="24"/>
            <w:szCs w:val="24"/>
          </w:rPr>
          <w:t>.</w:t>
        </w:r>
        <w:r w:rsidRPr="0040695C">
          <w:rPr>
            <w:rStyle w:val="Hyperlink"/>
            <w:sz w:val="24"/>
            <w:szCs w:val="24"/>
            <w:lang w:val="en-US"/>
          </w:rPr>
          <w:t>com</w:t>
        </w:r>
        <w:r w:rsidRPr="0040695C">
          <w:rPr>
            <w:rStyle w:val="Hyperlink"/>
            <w:sz w:val="24"/>
            <w:szCs w:val="24"/>
          </w:rPr>
          <w:t>/</w:t>
        </w:r>
      </w:hyperlink>
    </w:p>
    <w:p w:rsidR="00735F13" w:rsidRPr="0040695C" w:rsidRDefault="00735F13" w:rsidP="00951D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Документы, предъявляемые участниками организаторам Соревнований в комиссию по допуску: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заявку (приложение 1)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паспорт гражданина Российской Федерации или свидетельство о рождении (для участников младше 14 лет);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медицинская справка с допуском к Соревнованиям;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полис обязательного медицинского страхования;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договор о страховании жизни и здоровья от несчастных случаев;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скан платежного документа об уплате заявочного взноса.</w:t>
      </w:r>
    </w:p>
    <w:p w:rsidR="00735F13" w:rsidRPr="0040695C" w:rsidRDefault="00735F13" w:rsidP="00951D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УСЛОВИЯ ПОДВЕДЕНИЯ ИТОГОВ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Места определяются по наибольшей сумме набранных очков. В случае равенства очков места распределяются по дополнительным показателям в порядке убывания значимости:</w:t>
      </w:r>
    </w:p>
    <w:p w:rsidR="00735F13" w:rsidRPr="0040695C" w:rsidRDefault="00735F13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усеченный коэффициент Бухгольца (без одного худшего результата);</w:t>
      </w:r>
    </w:p>
    <w:p w:rsidR="00735F13" w:rsidRPr="0040695C" w:rsidRDefault="00735F13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коэффициент Бухгольца;</w:t>
      </w:r>
    </w:p>
    <w:p w:rsidR="00735F13" w:rsidRPr="0040695C" w:rsidRDefault="00735F13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большее число побед;</w:t>
      </w:r>
    </w:p>
    <w:p w:rsidR="00735F13" w:rsidRPr="0040695C" w:rsidRDefault="00735F13" w:rsidP="00557706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личная встреча.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Распределение зачетных очков производится в соответствии с </w:t>
      </w:r>
      <w:hyperlink r:id="rId17" w:history="1">
        <w:r w:rsidRPr="0040695C">
          <w:rPr>
            <w:rStyle w:val="Hyperlink"/>
            <w:sz w:val="24"/>
            <w:szCs w:val="24"/>
          </w:rPr>
          <w:t>Положением</w:t>
        </w:r>
      </w:hyperlink>
      <w:r w:rsidRPr="0040695C">
        <w:rPr>
          <w:color w:val="000000"/>
          <w:sz w:val="24"/>
          <w:szCs w:val="24"/>
        </w:rPr>
        <w:t xml:space="preserve"> о всероссийских соревнованиях по блицу «БЛИЦ Гран-При России» 2023 года.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Зачетные очки начисляются только участникам, имеющим гражданство РФ.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Участие в этапах Кубка России иностранных спортсменов не влияет на распределение зачетных очков.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Все претензии, касающиеся начисления очков и определения статуса турнира, принимаются в письменном виде по адресу </w:t>
      </w:r>
      <w:hyperlink r:id="rId18" w:history="1">
        <w:r w:rsidRPr="0040695C">
          <w:rPr>
            <w:color w:val="0000FF"/>
            <w:sz w:val="24"/>
            <w:szCs w:val="24"/>
            <w:u w:val="single"/>
          </w:rPr>
          <w:t>agafonova@ruchess.ru</w:t>
        </w:r>
      </w:hyperlink>
      <w:r w:rsidRPr="0040695C">
        <w:rPr>
          <w:color w:val="000000"/>
          <w:sz w:val="24"/>
          <w:szCs w:val="24"/>
        </w:rPr>
        <w:t xml:space="preserve"> в течение 10 календарных дней с момента публикации итогов турнира на сайте ФШР.</w:t>
      </w:r>
    </w:p>
    <w:p w:rsidR="00735F13" w:rsidRPr="0040695C" w:rsidRDefault="00735F13" w:rsidP="00BB5323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Организаторы обеспечивают:</w:t>
      </w:r>
    </w:p>
    <w:p w:rsidR="00735F13" w:rsidRPr="0040695C" w:rsidRDefault="00735F13" w:rsidP="00C00457">
      <w:pPr>
        <w:ind w:firstLine="300"/>
        <w:jc w:val="both"/>
        <w:rPr>
          <w:color w:val="000000"/>
          <w:sz w:val="24"/>
          <w:szCs w:val="24"/>
        </w:rPr>
      </w:pP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предоставление в ФШР фотоотчета о Соревнованиях (по возможности не менее 15 фотографий), в том числе фото, с согласованными рекламными материалами с лого ФШР и/или партнеров ФШР;</w:t>
      </w:r>
    </w:p>
    <w:p w:rsidR="00735F13" w:rsidRPr="0040695C" w:rsidRDefault="00735F13" w:rsidP="00C00457">
      <w:pPr>
        <w:ind w:firstLine="300"/>
        <w:jc w:val="both"/>
        <w:rPr>
          <w:color w:val="000000"/>
          <w:sz w:val="24"/>
          <w:szCs w:val="24"/>
        </w:rPr>
      </w:pP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предоставление в ФШР заверенные печатью и подписью главного судьи: судейский отчет, турнирные таблицы (установленного образца), а также таблицы с данными участников, получающих зачетные кубковые очки (в течение 10 календарных дней по окончании Соревнований, по электронной почте </w:t>
      </w:r>
      <w:hyperlink r:id="rId19" w:history="1">
        <w:r w:rsidRPr="0040695C">
          <w:rPr>
            <w:color w:val="0000FF"/>
            <w:sz w:val="24"/>
            <w:szCs w:val="24"/>
            <w:u w:val="single"/>
          </w:rPr>
          <w:t>agafonova@ruchess.ru</w:t>
        </w:r>
      </w:hyperlink>
      <w:r w:rsidRPr="0040695C">
        <w:rPr>
          <w:color w:val="000000"/>
          <w:sz w:val="24"/>
          <w:szCs w:val="24"/>
        </w:rPr>
        <w:t>;</w:t>
      </w:r>
    </w:p>
    <w:p w:rsidR="00735F13" w:rsidRPr="0040695C" w:rsidRDefault="00735F13" w:rsidP="00C00457">
      <w:pPr>
        <w:ind w:firstLine="300"/>
        <w:jc w:val="both"/>
        <w:rPr>
          <w:color w:val="000000"/>
          <w:sz w:val="24"/>
          <w:szCs w:val="24"/>
        </w:rPr>
      </w:pP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предоставление в ФШР отчета по расходованию целевых средств по установленной форме в срок не позднее 30 рабочих дней со дня окончания Соревнований.</w:t>
      </w:r>
    </w:p>
    <w:p w:rsidR="00735F13" w:rsidRPr="0040695C" w:rsidRDefault="00735F13" w:rsidP="00E06D5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Официальные сведения о Соревнованиях публикуются на сайте </w:t>
      </w:r>
      <w:hyperlink r:id="rId20" w:history="1">
        <w:r w:rsidRPr="0040695C">
          <w:rPr>
            <w:rStyle w:val="Hyperlink"/>
            <w:sz w:val="24"/>
            <w:szCs w:val="24"/>
            <w:lang w:val="en-US"/>
          </w:rPr>
          <w:t>http</w:t>
        </w:r>
        <w:r w:rsidRPr="0040695C">
          <w:rPr>
            <w:rStyle w:val="Hyperlink"/>
            <w:sz w:val="24"/>
            <w:szCs w:val="24"/>
          </w:rPr>
          <w:t>://</w:t>
        </w:r>
        <w:r w:rsidRPr="0040695C">
          <w:rPr>
            <w:rStyle w:val="Hyperlink"/>
            <w:sz w:val="24"/>
            <w:szCs w:val="24"/>
            <w:lang w:val="en-US"/>
          </w:rPr>
          <w:t>spbchesstournaments</w:t>
        </w:r>
        <w:r w:rsidRPr="0040695C">
          <w:rPr>
            <w:rStyle w:val="Hyperlink"/>
            <w:sz w:val="24"/>
            <w:szCs w:val="24"/>
          </w:rPr>
          <w:t>.</w:t>
        </w:r>
        <w:r w:rsidRPr="0040695C">
          <w:rPr>
            <w:rStyle w:val="Hyperlink"/>
            <w:sz w:val="24"/>
            <w:szCs w:val="24"/>
            <w:lang w:val="en-US"/>
          </w:rPr>
          <w:t>com</w:t>
        </w:r>
        <w:r w:rsidRPr="0040695C">
          <w:rPr>
            <w:rStyle w:val="Hyperlink"/>
            <w:sz w:val="24"/>
            <w:szCs w:val="24"/>
          </w:rPr>
          <w:t>/</w:t>
        </w:r>
      </w:hyperlink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НАГРАЖДЕНИЕ ПОБЕДИТЕЛЕЙ, ПРИЗЕРОВ</w:t>
      </w:r>
    </w:p>
    <w:p w:rsidR="00735F13" w:rsidRPr="0040695C" w:rsidRDefault="00735F13" w:rsidP="002440D9">
      <w:pPr>
        <w:pStyle w:val="Heading2"/>
        <w:widowControl/>
        <w:ind w:firstLine="301"/>
        <w:jc w:val="left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40695C">
        <w:rPr>
          <w:rFonts w:ascii="Times New Roman" w:hAnsi="Times New Roman"/>
          <w:i w:val="0"/>
          <w:color w:val="000000"/>
          <w:sz w:val="24"/>
          <w:szCs w:val="24"/>
        </w:rPr>
        <w:t>Распределение призов</w:t>
      </w:r>
      <w:r w:rsidRPr="0040695C"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5"/>
        <w:gridCol w:w="1395"/>
        <w:gridCol w:w="1395"/>
        <w:gridCol w:w="1395"/>
        <w:gridCol w:w="2608"/>
        <w:gridCol w:w="1134"/>
      </w:tblGrid>
      <w:tr w:rsidR="00735F13" w:rsidRPr="00994E9A" w:rsidTr="00CE3684">
        <w:tc>
          <w:tcPr>
            <w:tcW w:w="2790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Основные призы</w:t>
            </w:r>
          </w:p>
        </w:tc>
        <w:tc>
          <w:tcPr>
            <w:tcW w:w="6532" w:type="dxa"/>
            <w:gridSpan w:val="4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Специальные призы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2790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3742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Санкт-Петербург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10000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6000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6000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4000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4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4000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2000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5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68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1E685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6 место 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8000</w:t>
            </w:r>
          </w:p>
        </w:tc>
        <w:tc>
          <w:tcPr>
            <w:tcW w:w="2790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Юноши до 19 лет</w:t>
            </w:r>
          </w:p>
        </w:tc>
        <w:tc>
          <w:tcPr>
            <w:tcW w:w="3742" w:type="dxa"/>
            <w:gridSpan w:val="2"/>
          </w:tcPr>
          <w:p w:rsidR="00735F13" w:rsidRPr="0040695C" w:rsidRDefault="00735F13" w:rsidP="00CE48EC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Возрастная категория 50+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7 место 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6000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7500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3000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8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5000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5000</w:t>
            </w:r>
          </w:p>
        </w:tc>
        <w:tc>
          <w:tcPr>
            <w:tcW w:w="3742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Возрастная категория 65+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9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4000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2500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3000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10 место</w:t>
            </w:r>
          </w:p>
        </w:tc>
        <w:tc>
          <w:tcPr>
            <w:tcW w:w="1395" w:type="dxa"/>
          </w:tcPr>
          <w:p w:rsidR="00735F13" w:rsidRPr="0040695C" w:rsidRDefault="00735F13" w:rsidP="00BB532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3000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42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C32D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Девушки до 19 лет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Эло до 2000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2000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C32D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7500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Эло до 1800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2000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C32D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5000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</w:rPr>
            </w:pPr>
            <w:r w:rsidRPr="0040695C">
              <w:rPr>
                <w:b/>
                <w:color w:val="000000"/>
                <w:sz w:val="24"/>
                <w:szCs w:val="24"/>
              </w:rPr>
              <w:t>Эло до 1600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2000</w:t>
            </w: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C32D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 2500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C32D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5F13" w:rsidRPr="00994E9A" w:rsidTr="00CE3684"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5" w:type="dxa"/>
          </w:tcPr>
          <w:p w:rsidR="00735F13" w:rsidRPr="0040695C" w:rsidRDefault="00735F13" w:rsidP="00C32D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fldChar w:fldCharType="begin"/>
            </w:r>
            <w:r w:rsidRPr="0040695C">
              <w:rPr>
                <w:color w:val="000000"/>
                <w:sz w:val="24"/>
                <w:szCs w:val="24"/>
              </w:rPr>
              <w:instrText xml:space="preserve"> =SUM(ABOVE) </w:instrText>
            </w:r>
            <w:r w:rsidRPr="0040695C">
              <w:rPr>
                <w:color w:val="000000"/>
                <w:sz w:val="24"/>
                <w:szCs w:val="24"/>
              </w:rPr>
              <w:fldChar w:fldCharType="separate"/>
            </w:r>
            <w:r w:rsidRPr="0040695C">
              <w:rPr>
                <w:noProof/>
                <w:color w:val="000000"/>
                <w:sz w:val="24"/>
                <w:szCs w:val="24"/>
              </w:rPr>
              <w:t>126000</w:t>
            </w:r>
            <w:r w:rsidRPr="0040695C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95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 xml:space="preserve"> 50000</w:t>
            </w:r>
          </w:p>
        </w:tc>
        <w:tc>
          <w:tcPr>
            <w:tcW w:w="2608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735F13" w:rsidRPr="0040695C" w:rsidRDefault="00735F13" w:rsidP="00E1709D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40695C">
              <w:rPr>
                <w:color w:val="000000"/>
                <w:sz w:val="24"/>
                <w:szCs w:val="24"/>
              </w:rPr>
              <w:t>24000</w:t>
            </w:r>
          </w:p>
        </w:tc>
      </w:tr>
    </w:tbl>
    <w:p w:rsidR="00735F13" w:rsidRPr="0040695C" w:rsidRDefault="00735F13" w:rsidP="00E06D5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Призы подлежат налогообложению в соответствии с действующим законодательством РФ, организаторы удерживают с призов налог на доходы физических лиц.</w:t>
      </w:r>
    </w:p>
    <w:p w:rsidR="00735F13" w:rsidRPr="0040695C" w:rsidRDefault="00735F13" w:rsidP="00E06D5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При равенстве очков денежные призы не делятся. Участник может получить один основной и один специальный приз, за исключением призов для шахматистов Санкт-Петербурга (в этом случае участник получает один больший приз).</w:t>
      </w:r>
    </w:p>
    <w:p w:rsidR="00735F13" w:rsidRPr="0040695C" w:rsidRDefault="00735F13" w:rsidP="00E06D5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На призы в категориях «до 19 лет» могут претендовать шахматисты 2005 г.р. и моложе, «возрастная категория 50+»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1973 г.р. и старше, «возрастная категория 65+»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1958 г.р. и старше.</w:t>
      </w:r>
    </w:p>
    <w:p w:rsidR="00735F13" w:rsidRPr="0040695C" w:rsidRDefault="00735F13" w:rsidP="00E06D5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Призы выплачиваются на закрытии Соревнований наличными, для получения приза необходим паспорт или свидетельство о рождении.</w:t>
      </w:r>
    </w:p>
    <w:p w:rsidR="00735F13" w:rsidRPr="0040695C" w:rsidRDefault="00735F13" w:rsidP="00E06D5C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Участник, не получивший приз на закрытии, в дальнейшем может получить только 50% приза.</w:t>
      </w:r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УСЛОВИЯ ФИНАНСИРОВАНИЯ</w:t>
      </w:r>
    </w:p>
    <w:p w:rsidR="00735F13" w:rsidRPr="0040695C" w:rsidRDefault="00735F13" w:rsidP="008F410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Гарантированный призовой фонд турнира 200 000 рублей образуется из средств СШФ СПб и ФШР. Заявочные взносы расходуются на организационные мероприятия и выплату специальных призов.</w:t>
      </w:r>
    </w:p>
    <w:p w:rsidR="00735F13" w:rsidRPr="0040695C" w:rsidRDefault="00735F13" w:rsidP="008F410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Средства ФШР в размере 100 000 руб. перечисляются на расчетный счет СФШ СПб в соответствии с </w:t>
      </w:r>
      <w:hyperlink r:id="rId21" w:history="1">
        <w:r w:rsidRPr="0040695C">
          <w:rPr>
            <w:rStyle w:val="Hyperlink"/>
            <w:sz w:val="24"/>
            <w:szCs w:val="24"/>
          </w:rPr>
          <w:t>Положением</w:t>
        </w:r>
      </w:hyperlink>
      <w:r w:rsidRPr="0040695C">
        <w:rPr>
          <w:color w:val="000000"/>
          <w:sz w:val="24"/>
          <w:szCs w:val="24"/>
        </w:rPr>
        <w:t xml:space="preserve"> о всероссийских соревнованиях по блицу «БЛИЦ Гран-При России» 2023 г.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Все расходы по участию в Соревнованиях </w:t>
      </w:r>
      <w:r w:rsidRPr="001E6852">
        <w:rPr>
          <w:color w:val="000000"/>
          <w:sz w:val="24"/>
          <w:szCs w:val="24"/>
        </w:rPr>
        <w:t>–</w:t>
      </w:r>
      <w:r w:rsidRPr="0040695C">
        <w:rPr>
          <w:color w:val="000000"/>
          <w:sz w:val="24"/>
          <w:szCs w:val="24"/>
        </w:rPr>
        <w:t xml:space="preserve"> за счет командирующих организаций.</w:t>
      </w:r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УСЛОВИЯ РАЗМЕЩЕНИЯ УЧАСТНИКОВ, ПИТАНИЯ И ПРОЕЗД</w:t>
      </w:r>
    </w:p>
    <w:p w:rsidR="00735F13" w:rsidRPr="0040695C" w:rsidRDefault="00735F13" w:rsidP="002C56EC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 xml:space="preserve">Организаторы предлагают размещение в «Отель Парк Крестовский» по следующим ценам (цена за номер в сутки, завтрак включен, регистрация заезда с 14:00, отъезд </w:t>
      </w:r>
      <w:r w:rsidRPr="002C56EC">
        <w:rPr>
          <w:sz w:val="24"/>
          <w:szCs w:val="24"/>
        </w:rPr>
        <w:t>–</w:t>
      </w:r>
      <w:r w:rsidRPr="0040695C">
        <w:rPr>
          <w:sz w:val="24"/>
          <w:szCs w:val="24"/>
        </w:rPr>
        <w:t xml:space="preserve"> до 12:00):</w:t>
      </w:r>
    </w:p>
    <w:p w:rsidR="00735F13" w:rsidRPr="0040695C" w:rsidRDefault="00735F13" w:rsidP="002C56EC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 xml:space="preserve">Одноместный стандарт (цокольный этаж)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2800 руб.</w:t>
      </w:r>
    </w:p>
    <w:p w:rsidR="00735F13" w:rsidRPr="0040695C" w:rsidRDefault="00735F13" w:rsidP="002C56EC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 xml:space="preserve">Двухместный стандарт (цокольный этаж)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3200 руб. (цена за номер)</w:t>
      </w:r>
    </w:p>
    <w:p w:rsidR="00735F13" w:rsidRPr="0040695C" w:rsidRDefault="00735F13" w:rsidP="002C56EC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 xml:space="preserve">Одноместный комфорт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3200 руб.</w:t>
      </w:r>
    </w:p>
    <w:p w:rsidR="00735F13" w:rsidRPr="0040695C" w:rsidRDefault="00735F13" w:rsidP="002C56EC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 xml:space="preserve">Двухместный комфорт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3600 руб. (цена за номер).</w:t>
      </w:r>
    </w:p>
    <w:p w:rsidR="00735F13" w:rsidRPr="0040695C" w:rsidRDefault="00735F13" w:rsidP="002C56EC">
      <w:pPr>
        <w:ind w:firstLine="567"/>
        <w:rPr>
          <w:sz w:val="24"/>
          <w:szCs w:val="24"/>
        </w:rPr>
      </w:pPr>
      <w:r w:rsidRPr="0040695C">
        <w:rPr>
          <w:sz w:val="24"/>
          <w:szCs w:val="24"/>
        </w:rPr>
        <w:t xml:space="preserve">Одноместный люкс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5000 руб./сутки</w:t>
      </w:r>
    </w:p>
    <w:p w:rsidR="00735F13" w:rsidRPr="0040695C" w:rsidRDefault="00735F13" w:rsidP="002C56EC">
      <w:pPr>
        <w:ind w:firstLine="567"/>
        <w:rPr>
          <w:sz w:val="24"/>
          <w:szCs w:val="24"/>
        </w:rPr>
      </w:pPr>
      <w:r w:rsidRPr="0040695C">
        <w:rPr>
          <w:sz w:val="24"/>
          <w:szCs w:val="24"/>
        </w:rPr>
        <w:t xml:space="preserve">Двухместный люкс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6000 руб./сутки (цена за номер)</w:t>
      </w:r>
    </w:p>
    <w:p w:rsidR="00735F13" w:rsidRPr="0040695C" w:rsidRDefault="00735F13" w:rsidP="002C56EC">
      <w:pPr>
        <w:ind w:firstLine="567"/>
        <w:rPr>
          <w:sz w:val="24"/>
          <w:szCs w:val="24"/>
        </w:rPr>
      </w:pPr>
      <w:r w:rsidRPr="0040695C">
        <w:rPr>
          <w:sz w:val="24"/>
          <w:szCs w:val="24"/>
        </w:rPr>
        <w:t xml:space="preserve">Семейный номер (на 4 чел.)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5800 руб./сутки (цена за номер)</w:t>
      </w:r>
    </w:p>
    <w:p w:rsidR="00735F13" w:rsidRPr="0040695C" w:rsidRDefault="00735F13" w:rsidP="002C56EC">
      <w:pPr>
        <w:ind w:firstLine="567"/>
        <w:rPr>
          <w:sz w:val="24"/>
          <w:szCs w:val="24"/>
        </w:rPr>
      </w:pPr>
      <w:r w:rsidRPr="0040695C">
        <w:rPr>
          <w:sz w:val="24"/>
          <w:szCs w:val="24"/>
        </w:rPr>
        <w:t xml:space="preserve">Семейный номер (на 5 чел.)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7000 руб./сутки (цена за номер)</w:t>
      </w:r>
    </w:p>
    <w:p w:rsidR="00735F13" w:rsidRPr="0040695C" w:rsidRDefault="00735F13" w:rsidP="002C56EC">
      <w:pPr>
        <w:ind w:firstLine="567"/>
        <w:rPr>
          <w:sz w:val="24"/>
          <w:szCs w:val="24"/>
        </w:rPr>
      </w:pPr>
      <w:r w:rsidRPr="0040695C">
        <w:rPr>
          <w:sz w:val="24"/>
          <w:szCs w:val="24"/>
        </w:rPr>
        <w:t xml:space="preserve">Семейный номер (на 6 чел.) </w:t>
      </w:r>
      <w:r w:rsidRPr="002C56EC">
        <w:rPr>
          <w:sz w:val="24"/>
          <w:szCs w:val="24"/>
        </w:rPr>
        <w:t>— </w:t>
      </w:r>
      <w:r w:rsidRPr="0040695C">
        <w:rPr>
          <w:sz w:val="24"/>
          <w:szCs w:val="24"/>
        </w:rPr>
        <w:t>8200 руб./сутки (цена за номер)</w:t>
      </w:r>
    </w:p>
    <w:p w:rsidR="00735F13" w:rsidRDefault="00735F13" w:rsidP="00EE47AE">
      <w:pPr>
        <w:pStyle w:val="a5"/>
        <w:ind w:firstLine="300"/>
        <w:outlineLvl w:val="9"/>
        <w:rPr>
          <w:sz w:val="24"/>
          <w:szCs w:val="24"/>
        </w:rPr>
      </w:pPr>
      <w:r w:rsidRPr="0040695C">
        <w:rPr>
          <w:sz w:val="24"/>
          <w:szCs w:val="24"/>
        </w:rPr>
        <w:t>Обратите внимание, что ранний заезд или поздний выезд оплачивается как 50% от стоимости номера в сутки.</w:t>
      </w:r>
      <w:r w:rsidRPr="0040695C">
        <w:rPr>
          <w:rFonts w:ascii="Arial" w:hAnsi="Arial" w:cs="Arial"/>
          <w:sz w:val="24"/>
          <w:szCs w:val="24"/>
        </w:rPr>
        <w:t xml:space="preserve"> </w:t>
      </w:r>
      <w:r w:rsidRPr="0040695C">
        <w:rPr>
          <w:sz w:val="24"/>
          <w:szCs w:val="24"/>
        </w:rPr>
        <w:t>Для бронирования номеров необходимо прислать</w:t>
      </w:r>
      <w:r w:rsidRPr="002C56EC">
        <w:rPr>
          <w:sz w:val="24"/>
          <w:szCs w:val="24"/>
        </w:rPr>
        <w:t> </w:t>
      </w:r>
      <w:r w:rsidRPr="0040695C">
        <w:rPr>
          <w:sz w:val="24"/>
          <w:szCs w:val="24"/>
        </w:rPr>
        <w:t xml:space="preserve">на почту организаторов: </w:t>
      </w:r>
      <w:hyperlink r:id="rId22" w:history="1">
        <w:r w:rsidRPr="0040695C">
          <w:rPr>
            <w:rStyle w:val="Hyperlink"/>
            <w:sz w:val="24"/>
            <w:szCs w:val="24"/>
          </w:rPr>
          <w:t>spbchessfederation@yahoo.com</w:t>
        </w:r>
      </w:hyperlink>
      <w:r w:rsidRPr="0040695C">
        <w:rPr>
          <w:sz w:val="24"/>
          <w:szCs w:val="24"/>
        </w:rPr>
        <w:t xml:space="preserve"> следующие данные: ФИО проживающего/проживающих, даты проживания и тип номера.</w:t>
      </w:r>
    </w:p>
    <w:p w:rsidR="00735F13" w:rsidRPr="0040695C" w:rsidRDefault="00735F13" w:rsidP="00FE0C08">
      <w:pPr>
        <w:ind w:firstLine="300"/>
        <w:jc w:val="both"/>
        <w:rPr>
          <w:sz w:val="24"/>
          <w:szCs w:val="24"/>
        </w:rPr>
      </w:pPr>
      <w:r w:rsidRPr="0040695C">
        <w:rPr>
          <w:sz w:val="24"/>
          <w:szCs w:val="24"/>
        </w:rPr>
        <w:t>Организаторы предоставляют участникам возможность комплексного питания в «Отель Парк Крестовский» по следующим ценам:</w:t>
      </w:r>
    </w:p>
    <w:p w:rsidR="00735F13" w:rsidRPr="0040695C" w:rsidRDefault="00735F13" w:rsidP="006A1DF2">
      <w:pPr>
        <w:ind w:firstLine="300"/>
        <w:jc w:val="both"/>
        <w:rPr>
          <w:sz w:val="24"/>
          <w:szCs w:val="24"/>
        </w:rPr>
      </w:pPr>
      <w:r w:rsidRPr="0040695C">
        <w:rPr>
          <w:sz w:val="24"/>
          <w:szCs w:val="24"/>
        </w:rPr>
        <w:t xml:space="preserve">Обед (шведский стол)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700 руб./персона</w:t>
      </w:r>
    </w:p>
    <w:p w:rsidR="00735F13" w:rsidRPr="0040695C" w:rsidRDefault="00735F13" w:rsidP="006A1DF2">
      <w:pPr>
        <w:ind w:firstLine="300"/>
        <w:jc w:val="both"/>
        <w:rPr>
          <w:sz w:val="24"/>
          <w:szCs w:val="24"/>
        </w:rPr>
      </w:pPr>
      <w:r w:rsidRPr="0040695C">
        <w:rPr>
          <w:sz w:val="24"/>
          <w:szCs w:val="24"/>
        </w:rPr>
        <w:t xml:space="preserve">Ужин (шведский стол) </w:t>
      </w:r>
      <w:r w:rsidRPr="002C56EC">
        <w:rPr>
          <w:sz w:val="24"/>
          <w:szCs w:val="24"/>
        </w:rPr>
        <w:t>—</w:t>
      </w:r>
      <w:r w:rsidRPr="0040695C">
        <w:rPr>
          <w:sz w:val="24"/>
          <w:szCs w:val="24"/>
        </w:rPr>
        <w:t xml:space="preserve"> 700 руб./персона.</w:t>
      </w:r>
    </w:p>
    <w:p w:rsidR="00735F13" w:rsidRDefault="00735F13">
      <w:pPr>
        <w:pStyle w:val="a5"/>
        <w:rPr>
          <w:sz w:val="24"/>
          <w:szCs w:val="24"/>
        </w:rPr>
      </w:pPr>
      <w:r w:rsidRPr="0040695C">
        <w:rPr>
          <w:sz w:val="24"/>
          <w:szCs w:val="24"/>
        </w:rPr>
        <w:t xml:space="preserve">Для того чтобы заказать комплексное питание, необходимо сообщить ФИО заказчика и даты заказа на почту </w:t>
      </w:r>
      <w:hyperlink r:id="rId23">
        <w:r w:rsidRPr="0040695C">
          <w:rPr>
            <w:color w:val="1155CC"/>
            <w:sz w:val="24"/>
            <w:szCs w:val="24"/>
            <w:u w:val="single"/>
          </w:rPr>
          <w:t>spbchessfederation@yahoo.com</w:t>
        </w:r>
      </w:hyperlink>
      <w:r w:rsidRPr="0040695C">
        <w:rPr>
          <w:sz w:val="24"/>
          <w:szCs w:val="24"/>
        </w:rPr>
        <w:t>.</w:t>
      </w:r>
    </w:p>
    <w:p w:rsidR="00735F13" w:rsidRPr="0040695C" w:rsidRDefault="00735F13" w:rsidP="00AA258B">
      <w:pPr>
        <w:pStyle w:val="a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КОНТАКТЫ</w:t>
      </w:r>
    </w:p>
    <w:p w:rsidR="00735F13" w:rsidRPr="0040695C" w:rsidRDefault="00735F13" w:rsidP="00342514">
      <w:pPr>
        <w:pStyle w:val="a5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Дополнительную информацию можно получить: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почта: </w:t>
      </w:r>
      <w:hyperlink r:id="rId24" w:history="1">
        <w:r w:rsidRPr="0040695C">
          <w:rPr>
            <w:rStyle w:val="Hyperlink"/>
            <w:color w:val="000000"/>
            <w:sz w:val="24"/>
            <w:szCs w:val="24"/>
            <w:lang w:val="en-US"/>
          </w:rPr>
          <w:t>spbchessfederation</w:t>
        </w:r>
        <w:r w:rsidRPr="0040695C">
          <w:rPr>
            <w:rStyle w:val="Hyperlink"/>
            <w:color w:val="000000"/>
            <w:sz w:val="24"/>
            <w:szCs w:val="24"/>
          </w:rPr>
          <w:t>@yahoo.</w:t>
        </w:r>
        <w:r w:rsidRPr="0040695C">
          <w:rPr>
            <w:rStyle w:val="Hyperlink"/>
            <w:color w:val="000000"/>
            <w:sz w:val="24"/>
            <w:szCs w:val="24"/>
            <w:lang w:val="en-US"/>
          </w:rPr>
          <w:t>com</w:t>
        </w:r>
      </w:hyperlink>
      <w:r w:rsidRPr="0040695C">
        <w:rPr>
          <w:color w:val="000000"/>
          <w:sz w:val="24"/>
          <w:szCs w:val="24"/>
        </w:rPr>
        <w:t>;</w:t>
      </w:r>
    </w:p>
    <w:p w:rsidR="00735F13" w:rsidRDefault="00735F13" w:rsidP="004B0163">
      <w:pPr>
        <w:pStyle w:val="a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 xml:space="preserve"> whatsApp/telegram, +7 981</w:t>
      </w:r>
      <w:r w:rsidRPr="001E6852">
        <w:rPr>
          <w:color w:val="000000"/>
          <w:sz w:val="24"/>
          <w:szCs w:val="24"/>
        </w:rPr>
        <w:t> </w:t>
      </w:r>
      <w:r w:rsidRPr="0040695C">
        <w:rPr>
          <w:color w:val="000000"/>
          <w:sz w:val="24"/>
          <w:szCs w:val="24"/>
        </w:rPr>
        <w:t>790-87-48 (Даниил Недоступ).</w:t>
      </w:r>
    </w:p>
    <w:p w:rsidR="00735F13" w:rsidRPr="0040695C" w:rsidRDefault="00735F13" w:rsidP="004B0163">
      <w:pPr>
        <w:pStyle w:val="a"/>
        <w:rPr>
          <w:color w:val="000000"/>
          <w:sz w:val="24"/>
          <w:szCs w:val="24"/>
        </w:rPr>
      </w:pPr>
    </w:p>
    <w:p w:rsidR="00735F13" w:rsidRPr="0040695C" w:rsidRDefault="00735F13" w:rsidP="0093283C">
      <w:pPr>
        <w:rPr>
          <w:color w:val="000000"/>
          <w:sz w:val="24"/>
          <w:szCs w:val="24"/>
        </w:rPr>
      </w:pPr>
    </w:p>
    <w:p w:rsidR="00735F13" w:rsidRPr="0040695C" w:rsidRDefault="00735F13" w:rsidP="00BF46EF">
      <w:pPr>
        <w:ind w:firstLine="360"/>
        <w:jc w:val="center"/>
        <w:rPr>
          <w:b/>
          <w:color w:val="000000"/>
          <w:sz w:val="24"/>
          <w:szCs w:val="24"/>
        </w:rPr>
      </w:pPr>
      <w:r w:rsidRPr="0040695C">
        <w:rPr>
          <w:b/>
          <w:color w:val="000000"/>
          <w:sz w:val="24"/>
          <w:szCs w:val="24"/>
        </w:rPr>
        <w:t>Все уточнения и дополнения к данному положению регулируются регламентом Соревнований.</w:t>
      </w:r>
    </w:p>
    <w:p w:rsidR="00735F13" w:rsidRPr="001E6852" w:rsidRDefault="00735F13" w:rsidP="00BF46EF">
      <w:pPr>
        <w:ind w:firstLine="357"/>
        <w:jc w:val="center"/>
        <w:rPr>
          <w:b/>
          <w:color w:val="000000"/>
          <w:sz w:val="24"/>
          <w:szCs w:val="24"/>
        </w:rPr>
        <w:sectPr w:rsidR="00735F13" w:rsidRPr="001E6852" w:rsidSect="0040695C">
          <w:headerReference w:type="default" r:id="rId25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  <w:r w:rsidRPr="0040695C">
        <w:rPr>
          <w:b/>
          <w:color w:val="000000"/>
          <w:sz w:val="24"/>
          <w:szCs w:val="24"/>
        </w:rPr>
        <w:t>Данное Положение является официальным вызовом на Соревнования.</w:t>
      </w:r>
    </w:p>
    <w:p w:rsidR="00735F13" w:rsidRPr="004D773E" w:rsidRDefault="00735F13" w:rsidP="008F5D99">
      <w:pPr>
        <w:pStyle w:val="BodyText"/>
        <w:spacing w:before="12"/>
        <w:jc w:val="right"/>
        <w:rPr>
          <w:color w:val="000000"/>
        </w:rPr>
      </w:pPr>
      <w:r w:rsidRPr="004D773E">
        <w:rPr>
          <w:color w:val="000000"/>
        </w:rPr>
        <w:t>Приложение №1</w:t>
      </w:r>
    </w:p>
    <w:p w:rsidR="00735F13" w:rsidRPr="004D773E" w:rsidRDefault="00735F13" w:rsidP="008F5D99">
      <w:pPr>
        <w:pStyle w:val="BodyText"/>
        <w:spacing w:before="12"/>
        <w:rPr>
          <w:color w:val="000000"/>
        </w:rPr>
      </w:pPr>
    </w:p>
    <w:p w:rsidR="00735F13" w:rsidRPr="004D773E" w:rsidRDefault="00735F13" w:rsidP="008F5D99">
      <w:pPr>
        <w:pStyle w:val="BodyText"/>
        <w:spacing w:before="12"/>
        <w:rPr>
          <w:color w:val="000000"/>
        </w:rPr>
      </w:pPr>
    </w:p>
    <w:p w:rsidR="00735F13" w:rsidRPr="004D773E" w:rsidRDefault="00735F13" w:rsidP="008F5D99">
      <w:pPr>
        <w:pStyle w:val="BodyText"/>
        <w:ind w:left="1007" w:right="1066"/>
        <w:jc w:val="center"/>
        <w:rPr>
          <w:color w:val="000000"/>
        </w:rPr>
      </w:pPr>
      <w:r w:rsidRPr="004D773E">
        <w:rPr>
          <w:color w:val="000000"/>
        </w:rPr>
        <w:t>Форма</w:t>
      </w:r>
      <w:r w:rsidRPr="004D773E">
        <w:rPr>
          <w:color w:val="000000"/>
          <w:spacing w:val="-4"/>
        </w:rPr>
        <w:t xml:space="preserve"> </w:t>
      </w:r>
      <w:r w:rsidRPr="004D773E">
        <w:rPr>
          <w:color w:val="000000"/>
        </w:rPr>
        <w:t>заявки</w:t>
      </w:r>
      <w:r w:rsidRPr="004D773E">
        <w:rPr>
          <w:color w:val="000000"/>
          <w:spacing w:val="-2"/>
        </w:rPr>
        <w:t xml:space="preserve"> </w:t>
      </w:r>
      <w:r w:rsidRPr="004D773E">
        <w:rPr>
          <w:color w:val="000000"/>
        </w:rPr>
        <w:t>на</w:t>
      </w:r>
      <w:r w:rsidRPr="004D773E">
        <w:rPr>
          <w:color w:val="000000"/>
          <w:spacing w:val="-1"/>
        </w:rPr>
        <w:t xml:space="preserve"> </w:t>
      </w:r>
      <w:r w:rsidRPr="004D773E">
        <w:rPr>
          <w:color w:val="000000"/>
        </w:rPr>
        <w:t>участие</w:t>
      </w:r>
    </w:p>
    <w:p w:rsidR="00735F13" w:rsidRDefault="00735F13" w:rsidP="008F5D99">
      <w:pPr>
        <w:pStyle w:val="BodyText"/>
        <w:ind w:left="1008" w:right="1066"/>
        <w:jc w:val="center"/>
        <w:rPr>
          <w:color w:val="000000"/>
          <w:spacing w:val="-4"/>
        </w:rPr>
      </w:pPr>
      <w:r w:rsidRPr="004D773E">
        <w:rPr>
          <w:color w:val="000000"/>
        </w:rPr>
        <w:t xml:space="preserve">в этапе соревнований </w:t>
      </w:r>
      <w:r>
        <w:rPr>
          <w:color w:val="000000"/>
        </w:rPr>
        <w:t xml:space="preserve">2023 года </w:t>
      </w:r>
      <w:r w:rsidRPr="004D773E">
        <w:rPr>
          <w:color w:val="000000"/>
        </w:rPr>
        <w:t xml:space="preserve">по блицу </w:t>
      </w:r>
      <w:r>
        <w:rPr>
          <w:color w:val="000000"/>
        </w:rPr>
        <w:t>«</w:t>
      </w:r>
      <w:r w:rsidRPr="004D773E">
        <w:rPr>
          <w:color w:val="000000"/>
        </w:rPr>
        <w:t>БЛИЦ Гран-При России</w:t>
      </w:r>
      <w:r>
        <w:rPr>
          <w:color w:val="000000"/>
        </w:rPr>
        <w:t>» –</w:t>
      </w:r>
      <w:r w:rsidRPr="004D773E">
        <w:rPr>
          <w:color w:val="000000"/>
        </w:rPr>
        <w:t xml:space="preserve"> «</w:t>
      </w:r>
      <w:r>
        <w:rPr>
          <w:color w:val="000000"/>
        </w:rPr>
        <w:t>Мемориал М. И. Чигорина</w:t>
      </w:r>
      <w:r w:rsidRPr="004D773E">
        <w:rPr>
          <w:color w:val="000000"/>
        </w:rPr>
        <w:t>»</w:t>
      </w:r>
    </w:p>
    <w:p w:rsidR="00735F13" w:rsidRPr="004D773E" w:rsidRDefault="00735F13" w:rsidP="008F5D99">
      <w:pPr>
        <w:pStyle w:val="BodyText"/>
        <w:spacing w:before="12"/>
        <w:rPr>
          <w:color w:val="000000"/>
        </w:rPr>
      </w:pP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2124"/>
        <w:gridCol w:w="1620"/>
        <w:gridCol w:w="1260"/>
        <w:gridCol w:w="1620"/>
        <w:gridCol w:w="2340"/>
      </w:tblGrid>
      <w:tr w:rsidR="00735F13" w:rsidRPr="004D773E" w:rsidTr="00AE41B8">
        <w:trPr>
          <w:trHeight w:val="614"/>
        </w:trPr>
        <w:tc>
          <w:tcPr>
            <w:tcW w:w="756" w:type="dxa"/>
            <w:vMerge w:val="restart"/>
            <w:vAlign w:val="center"/>
          </w:tcPr>
          <w:p w:rsidR="00735F13" w:rsidRPr="004D773E" w:rsidRDefault="00735F13" w:rsidP="005132A1">
            <w:pPr>
              <w:pStyle w:val="TableParagraph"/>
              <w:ind w:left="194" w:right="57" w:firstLine="4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4D773E">
              <w:rPr>
                <w:rFonts w:ascii="Times New Roman" w:hAnsi="Times New Roman" w:cs="Times New Roman"/>
                <w:color w:val="000000"/>
                <w:spacing w:val="-43"/>
                <w:sz w:val="28"/>
                <w:szCs w:val="28"/>
                <w:lang w:val="en-US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124" w:type="dxa"/>
            <w:vMerge w:val="restart"/>
            <w:vAlign w:val="center"/>
          </w:tcPr>
          <w:p w:rsidR="00735F13" w:rsidRPr="004D773E" w:rsidRDefault="00735F13" w:rsidP="005132A1">
            <w:pPr>
              <w:pStyle w:val="TableParagraph"/>
              <w:ind w:left="618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735F13" w:rsidRPr="004D773E" w:rsidRDefault="00735F13" w:rsidP="005132A1">
            <w:pPr>
              <w:pStyle w:val="TableParagraph"/>
              <w:ind w:left="268" w:right="146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r w:rsidRPr="004D773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260" w:type="dxa"/>
            <w:vMerge w:val="restart"/>
            <w:vAlign w:val="center"/>
          </w:tcPr>
          <w:p w:rsidR="00735F13" w:rsidRPr="004D773E" w:rsidRDefault="00735F13" w:rsidP="005132A1">
            <w:pPr>
              <w:pStyle w:val="TableParagraph"/>
              <w:ind w:left="277" w:right="104" w:hanging="44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Звание/</w:t>
            </w:r>
            <w:r w:rsidRPr="004D773E">
              <w:rPr>
                <w:rFonts w:ascii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Разряд</w:t>
            </w:r>
          </w:p>
        </w:tc>
        <w:tc>
          <w:tcPr>
            <w:tcW w:w="1620" w:type="dxa"/>
            <w:vMerge w:val="restart"/>
            <w:vAlign w:val="center"/>
          </w:tcPr>
          <w:p w:rsidR="00735F13" w:rsidRPr="004D773E" w:rsidRDefault="00735F13" w:rsidP="005132A1">
            <w:pPr>
              <w:pStyle w:val="TableParagraph"/>
              <w:ind w:left="28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4D773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FIDE/</w:t>
            </w:r>
          </w:p>
          <w:p w:rsidR="00735F13" w:rsidRPr="004D773E" w:rsidRDefault="00735F13" w:rsidP="005132A1">
            <w:pPr>
              <w:pStyle w:val="TableParagraph"/>
              <w:spacing w:before="1"/>
              <w:ind w:left="29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4D773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ФШР</w:t>
            </w:r>
          </w:p>
        </w:tc>
        <w:tc>
          <w:tcPr>
            <w:tcW w:w="2340" w:type="dxa"/>
            <w:vMerge w:val="restart"/>
            <w:vAlign w:val="center"/>
          </w:tcPr>
          <w:p w:rsidR="00735F13" w:rsidRPr="004D773E" w:rsidRDefault="00735F13" w:rsidP="005132A1">
            <w:pPr>
              <w:pStyle w:val="TableParagraph"/>
              <w:ind w:left="213" w:righ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контактный</w:t>
            </w:r>
            <w:r>
              <w:rPr>
                <w:rFonts w:ascii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</w:t>
            </w:r>
          </w:p>
          <w:p w:rsidR="00735F13" w:rsidRPr="004D773E" w:rsidRDefault="00735F13" w:rsidP="005132A1">
            <w:pPr>
              <w:pStyle w:val="TableParagraph"/>
              <w:spacing w:line="243" w:lineRule="exact"/>
              <w:ind w:left="209" w:right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</w:tr>
      <w:tr w:rsidR="00735F13" w:rsidRPr="004D773E" w:rsidTr="00AE41B8">
        <w:trPr>
          <w:trHeight w:val="568"/>
        </w:trPr>
        <w:tc>
          <w:tcPr>
            <w:tcW w:w="756" w:type="dxa"/>
            <w:vMerge/>
            <w:tcBorders>
              <w:top w:val="nil"/>
            </w:tcBorders>
          </w:tcPr>
          <w:p w:rsidR="00735F13" w:rsidRPr="004D773E" w:rsidRDefault="00735F13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735F13" w:rsidRPr="004D773E" w:rsidRDefault="00735F13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735F13" w:rsidRPr="004D773E" w:rsidRDefault="00735F13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735F13" w:rsidRPr="004D773E" w:rsidRDefault="00735F13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735F13" w:rsidRPr="004D773E" w:rsidRDefault="00735F13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735F13" w:rsidRPr="004D773E" w:rsidRDefault="00735F13" w:rsidP="005132A1">
            <w:pPr>
              <w:widowControl w:val="0"/>
              <w:autoSpaceDE w:val="0"/>
              <w:autoSpaceDN w:val="0"/>
              <w:rPr>
                <w:color w:val="000000"/>
                <w:lang w:val="en-US" w:eastAsia="en-US"/>
              </w:rPr>
            </w:pPr>
          </w:p>
        </w:tc>
      </w:tr>
      <w:tr w:rsidR="00735F13" w:rsidRPr="004D773E" w:rsidTr="00AE41B8">
        <w:trPr>
          <w:trHeight w:val="283"/>
        </w:trPr>
        <w:tc>
          <w:tcPr>
            <w:tcW w:w="756" w:type="dxa"/>
            <w:vAlign w:val="center"/>
          </w:tcPr>
          <w:p w:rsidR="00735F13" w:rsidRPr="004D773E" w:rsidRDefault="00735F13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4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735F13" w:rsidRPr="004D773E" w:rsidTr="00AE41B8">
        <w:trPr>
          <w:trHeight w:val="283"/>
        </w:trPr>
        <w:tc>
          <w:tcPr>
            <w:tcW w:w="756" w:type="dxa"/>
            <w:vAlign w:val="center"/>
          </w:tcPr>
          <w:p w:rsidR="00735F13" w:rsidRPr="004D773E" w:rsidRDefault="00735F13" w:rsidP="005132A1">
            <w:pPr>
              <w:pStyle w:val="TableParagraph"/>
              <w:spacing w:line="248" w:lineRule="exact"/>
              <w:ind w:left="179" w:right="1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4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735F13" w:rsidRPr="004D773E" w:rsidRDefault="00735F13" w:rsidP="005132A1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735F13" w:rsidRPr="004D773E" w:rsidRDefault="00735F13" w:rsidP="008F5D99">
      <w:pPr>
        <w:pStyle w:val="BodyText"/>
        <w:spacing w:before="1"/>
        <w:rPr>
          <w:color w:val="000000"/>
        </w:rPr>
      </w:pPr>
    </w:p>
    <w:p w:rsidR="00735F13" w:rsidRPr="004D773E" w:rsidRDefault="00735F13" w:rsidP="008F5D99">
      <w:pPr>
        <w:pStyle w:val="BodyText"/>
        <w:tabs>
          <w:tab w:val="left" w:pos="10116"/>
        </w:tabs>
        <w:ind w:left="672"/>
        <w:rPr>
          <w:color w:val="000000"/>
        </w:rPr>
      </w:pPr>
      <w:r w:rsidRPr="004D773E">
        <w:rPr>
          <w:color w:val="000000"/>
        </w:rPr>
        <w:t>Представитель</w:t>
      </w:r>
      <w:r w:rsidRPr="004D773E">
        <w:rPr>
          <w:color w:val="000000"/>
          <w:spacing w:val="-4"/>
        </w:rPr>
        <w:t xml:space="preserve"> </w:t>
      </w:r>
      <w:r w:rsidRPr="004D773E">
        <w:rPr>
          <w:color w:val="000000"/>
        </w:rPr>
        <w:t>спортсмена:</w:t>
      </w:r>
      <w:r>
        <w:rPr>
          <w:color w:val="000000"/>
          <w:spacing w:val="10"/>
        </w:rPr>
        <w:t xml:space="preserve"> </w:t>
      </w:r>
      <w:r w:rsidRPr="004D773E">
        <w:rPr>
          <w:color w:val="000000"/>
          <w:u w:val="single"/>
        </w:rPr>
        <w:tab/>
      </w:r>
    </w:p>
    <w:p w:rsidR="00735F13" w:rsidRPr="0040695C" w:rsidRDefault="00735F13" w:rsidP="008F5D99">
      <w:pPr>
        <w:tabs>
          <w:tab w:val="left" w:pos="6978"/>
        </w:tabs>
        <w:spacing w:before="12"/>
        <w:ind w:left="4343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подпись</w:t>
      </w:r>
      <w:r w:rsidRPr="006364A9">
        <w:rPr>
          <w:color w:val="000000"/>
          <w:sz w:val="24"/>
          <w:szCs w:val="24"/>
        </w:rPr>
        <w:tab/>
      </w:r>
      <w:r w:rsidRPr="0040695C">
        <w:rPr>
          <w:color w:val="000000"/>
          <w:sz w:val="24"/>
          <w:szCs w:val="24"/>
        </w:rPr>
        <w:t>расшифровка</w:t>
      </w:r>
      <w:r w:rsidRPr="0040695C">
        <w:rPr>
          <w:color w:val="000000"/>
          <w:spacing w:val="21"/>
          <w:sz w:val="24"/>
          <w:szCs w:val="24"/>
        </w:rPr>
        <w:t xml:space="preserve"> </w:t>
      </w:r>
      <w:r w:rsidRPr="0040695C">
        <w:rPr>
          <w:color w:val="000000"/>
          <w:sz w:val="24"/>
          <w:szCs w:val="24"/>
        </w:rPr>
        <w:t>подписи</w:t>
      </w:r>
    </w:p>
    <w:p w:rsidR="00735F13" w:rsidRPr="004D773E" w:rsidRDefault="00735F13" w:rsidP="008F5D99">
      <w:pPr>
        <w:pStyle w:val="BodyText"/>
        <w:rPr>
          <w:color w:val="000000"/>
        </w:rPr>
      </w:pPr>
    </w:p>
    <w:p w:rsidR="00735F13" w:rsidRPr="004D773E" w:rsidRDefault="00735F13" w:rsidP="008F5D99">
      <w:pPr>
        <w:pStyle w:val="BodyText"/>
        <w:tabs>
          <w:tab w:val="left" w:pos="5358"/>
        </w:tabs>
        <w:spacing w:before="122"/>
        <w:ind w:left="672"/>
        <w:rPr>
          <w:color w:val="000000"/>
        </w:rPr>
      </w:pPr>
      <w:r w:rsidRPr="004D773E">
        <w:rPr>
          <w:color w:val="000000"/>
        </w:rPr>
        <w:t>К</w:t>
      </w:r>
      <w:r w:rsidRPr="004D773E">
        <w:rPr>
          <w:color w:val="000000"/>
          <w:spacing w:val="-2"/>
        </w:rPr>
        <w:t xml:space="preserve"> </w:t>
      </w:r>
      <w:r w:rsidRPr="004D773E">
        <w:rPr>
          <w:color w:val="000000"/>
        </w:rPr>
        <w:t>соревнованию</w:t>
      </w:r>
      <w:r w:rsidRPr="004D773E">
        <w:rPr>
          <w:color w:val="000000"/>
          <w:spacing w:val="-5"/>
        </w:rPr>
        <w:t xml:space="preserve"> </w:t>
      </w:r>
      <w:r w:rsidRPr="004D773E">
        <w:rPr>
          <w:color w:val="000000"/>
        </w:rPr>
        <w:t>допущен</w:t>
      </w:r>
      <w:r>
        <w:rPr>
          <w:color w:val="000000"/>
          <w:spacing w:val="2"/>
        </w:rPr>
        <w:t xml:space="preserve"> </w:t>
      </w:r>
      <w:r w:rsidRPr="004D773E">
        <w:rPr>
          <w:color w:val="000000"/>
          <w:u w:val="single"/>
        </w:rPr>
        <w:tab/>
      </w:r>
      <w:r>
        <w:rPr>
          <w:color w:val="000000"/>
          <w:u w:val="single"/>
        </w:rPr>
        <w:t>_____________</w:t>
      </w:r>
    </w:p>
    <w:p w:rsidR="00735F13" w:rsidRPr="004D773E" w:rsidRDefault="00735F13" w:rsidP="008F5D99">
      <w:pPr>
        <w:pStyle w:val="BodyText"/>
        <w:spacing w:before="4"/>
        <w:rPr>
          <w:color w:val="000000"/>
        </w:rPr>
      </w:pPr>
    </w:p>
    <w:p w:rsidR="00735F13" w:rsidRPr="004D773E" w:rsidRDefault="00735F13" w:rsidP="008F5D99">
      <w:pPr>
        <w:pStyle w:val="BodyText"/>
        <w:tabs>
          <w:tab w:val="left" w:pos="5978"/>
        </w:tabs>
        <w:spacing w:before="86"/>
        <w:ind w:left="672"/>
        <w:rPr>
          <w:color w:val="000000"/>
        </w:rPr>
      </w:pPr>
      <w:r w:rsidRPr="004D773E">
        <w:rPr>
          <w:color w:val="000000"/>
        </w:rPr>
        <w:t>Врач</w:t>
      </w:r>
      <w:r>
        <w:rPr>
          <w:color w:val="000000"/>
        </w:rPr>
        <w:t xml:space="preserve"> </w:t>
      </w:r>
      <w:r w:rsidRPr="004D773E">
        <w:rPr>
          <w:color w:val="000000"/>
          <w:u w:val="thick"/>
        </w:rPr>
        <w:tab/>
      </w:r>
    </w:p>
    <w:p w:rsidR="00735F13" w:rsidRPr="0040695C" w:rsidRDefault="00735F13" w:rsidP="008F5D99">
      <w:pPr>
        <w:tabs>
          <w:tab w:val="left" w:pos="3551"/>
        </w:tabs>
        <w:spacing w:before="11"/>
        <w:ind w:left="1530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подпись</w:t>
      </w:r>
      <w:r w:rsidRPr="006364A9">
        <w:rPr>
          <w:color w:val="000000"/>
          <w:sz w:val="24"/>
          <w:szCs w:val="24"/>
        </w:rPr>
        <w:tab/>
      </w:r>
      <w:r w:rsidRPr="0040695C">
        <w:rPr>
          <w:color w:val="000000"/>
          <w:sz w:val="24"/>
          <w:szCs w:val="24"/>
        </w:rPr>
        <w:t>расшифровка</w:t>
      </w:r>
      <w:r w:rsidRPr="0040695C">
        <w:rPr>
          <w:color w:val="000000"/>
          <w:spacing w:val="20"/>
          <w:sz w:val="24"/>
          <w:szCs w:val="24"/>
        </w:rPr>
        <w:t xml:space="preserve"> </w:t>
      </w:r>
      <w:r w:rsidRPr="0040695C">
        <w:rPr>
          <w:color w:val="000000"/>
          <w:sz w:val="24"/>
          <w:szCs w:val="24"/>
        </w:rPr>
        <w:t>подписи</w:t>
      </w:r>
    </w:p>
    <w:p w:rsidR="00735F13" w:rsidRPr="0040695C" w:rsidRDefault="00735F13" w:rsidP="001C182B">
      <w:pPr>
        <w:spacing w:before="60" w:after="60"/>
        <w:ind w:left="567"/>
        <w:jc w:val="both"/>
        <w:outlineLvl w:val="2"/>
        <w:rPr>
          <w:color w:val="000000"/>
          <w:sz w:val="24"/>
          <w:szCs w:val="24"/>
        </w:rPr>
      </w:pPr>
      <w:r w:rsidRPr="0040695C">
        <w:rPr>
          <w:color w:val="000000"/>
          <w:sz w:val="24"/>
          <w:szCs w:val="24"/>
        </w:rPr>
        <w:t>Направляя настоящую заявку, подтверждаю, что с Положением о Соревновании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</w:r>
    </w:p>
    <w:p w:rsidR="00735F13" w:rsidRPr="004D773E" w:rsidRDefault="00735F13" w:rsidP="001C182B">
      <w:pPr>
        <w:spacing w:before="60" w:after="60"/>
        <w:ind w:left="567"/>
        <w:jc w:val="both"/>
        <w:outlineLvl w:val="2"/>
        <w:rPr>
          <w:color w:val="000000"/>
        </w:rPr>
      </w:pPr>
    </w:p>
    <w:p w:rsidR="00735F13" w:rsidRPr="004D773E" w:rsidRDefault="00735F13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</w:rPr>
        <w:tab/>
        <w:t>_______________________</w:t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  <w:t>______________________</w:t>
      </w:r>
    </w:p>
    <w:p w:rsidR="00735F13" w:rsidRPr="004D773E" w:rsidRDefault="00735F13" w:rsidP="001C182B">
      <w:pPr>
        <w:spacing w:before="60" w:after="60"/>
        <w:ind w:left="567"/>
        <w:jc w:val="both"/>
        <w:outlineLvl w:val="2"/>
        <w:rPr>
          <w:color w:val="000000"/>
          <w:vertAlign w:val="subscript"/>
        </w:rPr>
      </w:pPr>
      <w:r w:rsidRPr="004D773E">
        <w:rPr>
          <w:color w:val="000000"/>
          <w:vertAlign w:val="subscript"/>
        </w:rPr>
        <w:t xml:space="preserve">Ф.И.О. участника </w:t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  <w:t>подпись</w:t>
      </w:r>
    </w:p>
    <w:p w:rsidR="00735F13" w:rsidRPr="004D773E" w:rsidRDefault="00735F13" w:rsidP="001C182B">
      <w:pPr>
        <w:spacing w:before="60" w:after="60"/>
        <w:ind w:left="567" w:hanging="567"/>
        <w:jc w:val="both"/>
        <w:outlineLvl w:val="2"/>
        <w:rPr>
          <w:color w:val="000000"/>
        </w:rPr>
      </w:pPr>
      <w:r w:rsidRPr="004D773E">
        <w:rPr>
          <w:color w:val="000000"/>
        </w:rPr>
        <w:tab/>
        <w:t>_______________________</w:t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</w:r>
      <w:r w:rsidRPr="004D773E">
        <w:rPr>
          <w:color w:val="000000"/>
        </w:rPr>
        <w:tab/>
        <w:t>______________________</w:t>
      </w:r>
    </w:p>
    <w:p w:rsidR="00735F13" w:rsidRPr="004D773E" w:rsidRDefault="00735F13" w:rsidP="001C182B">
      <w:pPr>
        <w:spacing w:before="60" w:after="60"/>
        <w:ind w:left="567"/>
        <w:jc w:val="both"/>
        <w:outlineLvl w:val="2"/>
        <w:rPr>
          <w:color w:val="000000"/>
        </w:rPr>
      </w:pPr>
      <w:r w:rsidRPr="004D773E">
        <w:rPr>
          <w:color w:val="000000"/>
          <w:vertAlign w:val="subscript"/>
        </w:rPr>
        <w:t xml:space="preserve">Ф.И.О. участника </w:t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</w:r>
      <w:r w:rsidRPr="004D773E">
        <w:rPr>
          <w:color w:val="000000"/>
          <w:vertAlign w:val="subscript"/>
        </w:rPr>
        <w:tab/>
        <w:t>подпись</w:t>
      </w:r>
    </w:p>
    <w:p w:rsidR="00735F13" w:rsidRPr="004D773E" w:rsidRDefault="00735F13" w:rsidP="001D291E">
      <w:pPr>
        <w:spacing w:before="120"/>
        <w:ind w:firstLine="357"/>
        <w:jc w:val="both"/>
        <w:rPr>
          <w:bCs/>
          <w:color w:val="000000"/>
        </w:rPr>
      </w:pPr>
    </w:p>
    <w:sectPr w:rsidR="00735F13" w:rsidRPr="004D773E" w:rsidSect="00375ECC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13" w:rsidRDefault="00735F13" w:rsidP="00E06D5C">
      <w:r>
        <w:separator/>
      </w:r>
    </w:p>
  </w:endnote>
  <w:endnote w:type="continuationSeparator" w:id="0">
    <w:p w:rsidR="00735F13" w:rsidRDefault="00735F13" w:rsidP="00E06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13" w:rsidRDefault="00735F13" w:rsidP="00E06D5C">
      <w:r>
        <w:separator/>
      </w:r>
    </w:p>
  </w:footnote>
  <w:footnote w:type="continuationSeparator" w:id="0">
    <w:p w:rsidR="00735F13" w:rsidRDefault="00735F13" w:rsidP="00E06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13" w:rsidRDefault="00735F13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09BE"/>
    <w:multiLevelType w:val="hybridMultilevel"/>
    <w:tmpl w:val="F04046C0"/>
    <w:lvl w:ilvl="0" w:tplc="A50C579C">
      <w:start w:val="1"/>
      <w:numFmt w:val="bullet"/>
      <w:pStyle w:val="a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nsid w:val="316368C0"/>
    <w:multiLevelType w:val="hybridMultilevel"/>
    <w:tmpl w:val="79F64D7E"/>
    <w:lvl w:ilvl="0" w:tplc="4192E212">
      <w:start w:val="1"/>
      <w:numFmt w:val="upperRoman"/>
      <w:pStyle w:val="a0"/>
      <w:lvlText w:val="%1."/>
      <w:lvlJc w:val="right"/>
      <w:pPr>
        <w:ind w:left="360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413A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7B4A2621"/>
    <w:multiLevelType w:val="hybridMultilevel"/>
    <w:tmpl w:val="DA46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ECC"/>
    <w:rsid w:val="000037BA"/>
    <w:rsid w:val="00004405"/>
    <w:rsid w:val="00006DBF"/>
    <w:rsid w:val="00015264"/>
    <w:rsid w:val="00015523"/>
    <w:rsid w:val="00017D29"/>
    <w:rsid w:val="0002131A"/>
    <w:rsid w:val="00033022"/>
    <w:rsid w:val="00037F75"/>
    <w:rsid w:val="00053061"/>
    <w:rsid w:val="00054415"/>
    <w:rsid w:val="00055BE1"/>
    <w:rsid w:val="000615AA"/>
    <w:rsid w:val="0007127D"/>
    <w:rsid w:val="00077780"/>
    <w:rsid w:val="000A69CD"/>
    <w:rsid w:val="000A7CDD"/>
    <w:rsid w:val="000B003C"/>
    <w:rsid w:val="000B7D90"/>
    <w:rsid w:val="000C198E"/>
    <w:rsid w:val="000C7EEE"/>
    <w:rsid w:val="000D3F6D"/>
    <w:rsid w:val="000D593A"/>
    <w:rsid w:val="000D68DE"/>
    <w:rsid w:val="000E1109"/>
    <w:rsid w:val="000E535C"/>
    <w:rsid w:val="00104709"/>
    <w:rsid w:val="00113453"/>
    <w:rsid w:val="001137C4"/>
    <w:rsid w:val="001158C3"/>
    <w:rsid w:val="0011619A"/>
    <w:rsid w:val="0012296B"/>
    <w:rsid w:val="00123ADE"/>
    <w:rsid w:val="00124B30"/>
    <w:rsid w:val="00131AD8"/>
    <w:rsid w:val="00136B20"/>
    <w:rsid w:val="00137B31"/>
    <w:rsid w:val="001402E4"/>
    <w:rsid w:val="001410A2"/>
    <w:rsid w:val="001512E0"/>
    <w:rsid w:val="001553A4"/>
    <w:rsid w:val="00157D76"/>
    <w:rsid w:val="00160049"/>
    <w:rsid w:val="00167054"/>
    <w:rsid w:val="00173649"/>
    <w:rsid w:val="001826B8"/>
    <w:rsid w:val="00191E85"/>
    <w:rsid w:val="001925F0"/>
    <w:rsid w:val="0019330A"/>
    <w:rsid w:val="00195366"/>
    <w:rsid w:val="00195FB6"/>
    <w:rsid w:val="00197866"/>
    <w:rsid w:val="001A2579"/>
    <w:rsid w:val="001A2BCF"/>
    <w:rsid w:val="001A3295"/>
    <w:rsid w:val="001A5C7D"/>
    <w:rsid w:val="001A6030"/>
    <w:rsid w:val="001C0EE0"/>
    <w:rsid w:val="001C182B"/>
    <w:rsid w:val="001D291E"/>
    <w:rsid w:val="001D29A4"/>
    <w:rsid w:val="001D724E"/>
    <w:rsid w:val="001E1897"/>
    <w:rsid w:val="001E1B51"/>
    <w:rsid w:val="001E2116"/>
    <w:rsid w:val="001E6852"/>
    <w:rsid w:val="001E73B2"/>
    <w:rsid w:val="001F1BC1"/>
    <w:rsid w:val="001F7519"/>
    <w:rsid w:val="002019B7"/>
    <w:rsid w:val="0020601C"/>
    <w:rsid w:val="002070BB"/>
    <w:rsid w:val="00211692"/>
    <w:rsid w:val="00211942"/>
    <w:rsid w:val="0021483E"/>
    <w:rsid w:val="00214D1B"/>
    <w:rsid w:val="00216563"/>
    <w:rsid w:val="00223888"/>
    <w:rsid w:val="002245F2"/>
    <w:rsid w:val="00240459"/>
    <w:rsid w:val="00241009"/>
    <w:rsid w:val="00241383"/>
    <w:rsid w:val="00242D89"/>
    <w:rsid w:val="00243AA5"/>
    <w:rsid w:val="002440D9"/>
    <w:rsid w:val="0024591F"/>
    <w:rsid w:val="00245A2B"/>
    <w:rsid w:val="00246EB2"/>
    <w:rsid w:val="00247B67"/>
    <w:rsid w:val="002562F3"/>
    <w:rsid w:val="00267EF1"/>
    <w:rsid w:val="0027024B"/>
    <w:rsid w:val="00296392"/>
    <w:rsid w:val="002A40D8"/>
    <w:rsid w:val="002B6A1B"/>
    <w:rsid w:val="002C1530"/>
    <w:rsid w:val="002C1A99"/>
    <w:rsid w:val="002C21D1"/>
    <w:rsid w:val="002C330C"/>
    <w:rsid w:val="002C4232"/>
    <w:rsid w:val="002C56EC"/>
    <w:rsid w:val="002C5CBF"/>
    <w:rsid w:val="002F08CF"/>
    <w:rsid w:val="002F6CE5"/>
    <w:rsid w:val="00334527"/>
    <w:rsid w:val="00342514"/>
    <w:rsid w:val="00345CDC"/>
    <w:rsid w:val="00354E34"/>
    <w:rsid w:val="00354E38"/>
    <w:rsid w:val="003667C4"/>
    <w:rsid w:val="00367F87"/>
    <w:rsid w:val="0037013E"/>
    <w:rsid w:val="00375ECC"/>
    <w:rsid w:val="00376C3A"/>
    <w:rsid w:val="00385AB2"/>
    <w:rsid w:val="0038635D"/>
    <w:rsid w:val="00392CAF"/>
    <w:rsid w:val="00392E59"/>
    <w:rsid w:val="003A20F3"/>
    <w:rsid w:val="003B14CA"/>
    <w:rsid w:val="003B1FD6"/>
    <w:rsid w:val="003B50EC"/>
    <w:rsid w:val="003D143D"/>
    <w:rsid w:val="003D2B12"/>
    <w:rsid w:val="003D50C1"/>
    <w:rsid w:val="003D70CF"/>
    <w:rsid w:val="003D7F50"/>
    <w:rsid w:val="003E077E"/>
    <w:rsid w:val="003E1150"/>
    <w:rsid w:val="003E195C"/>
    <w:rsid w:val="003E42F4"/>
    <w:rsid w:val="003E5CC1"/>
    <w:rsid w:val="003F0639"/>
    <w:rsid w:val="003F0849"/>
    <w:rsid w:val="0040080E"/>
    <w:rsid w:val="0040695C"/>
    <w:rsid w:val="00411F2E"/>
    <w:rsid w:val="0041319B"/>
    <w:rsid w:val="0041453F"/>
    <w:rsid w:val="00414B62"/>
    <w:rsid w:val="00416177"/>
    <w:rsid w:val="00416572"/>
    <w:rsid w:val="00426CCA"/>
    <w:rsid w:val="0042775A"/>
    <w:rsid w:val="0043300F"/>
    <w:rsid w:val="00437204"/>
    <w:rsid w:val="00446B4E"/>
    <w:rsid w:val="00451A22"/>
    <w:rsid w:val="00457340"/>
    <w:rsid w:val="004758B7"/>
    <w:rsid w:val="004857E7"/>
    <w:rsid w:val="004857FC"/>
    <w:rsid w:val="00491D0B"/>
    <w:rsid w:val="00492CB3"/>
    <w:rsid w:val="00495AD7"/>
    <w:rsid w:val="00497D83"/>
    <w:rsid w:val="004A2522"/>
    <w:rsid w:val="004B0163"/>
    <w:rsid w:val="004C4BD6"/>
    <w:rsid w:val="004C51E1"/>
    <w:rsid w:val="004C6D0A"/>
    <w:rsid w:val="004D1540"/>
    <w:rsid w:val="004D32A3"/>
    <w:rsid w:val="004D42F0"/>
    <w:rsid w:val="004D773E"/>
    <w:rsid w:val="004F69CA"/>
    <w:rsid w:val="00500CC9"/>
    <w:rsid w:val="005010E5"/>
    <w:rsid w:val="0051103D"/>
    <w:rsid w:val="00511C61"/>
    <w:rsid w:val="00512054"/>
    <w:rsid w:val="005131E8"/>
    <w:rsid w:val="005132A1"/>
    <w:rsid w:val="00514395"/>
    <w:rsid w:val="00514D82"/>
    <w:rsid w:val="00527F0D"/>
    <w:rsid w:val="005313C6"/>
    <w:rsid w:val="0053188F"/>
    <w:rsid w:val="00535161"/>
    <w:rsid w:val="0054744A"/>
    <w:rsid w:val="00552066"/>
    <w:rsid w:val="00557553"/>
    <w:rsid w:val="00557706"/>
    <w:rsid w:val="00557CB4"/>
    <w:rsid w:val="00560821"/>
    <w:rsid w:val="00561C10"/>
    <w:rsid w:val="005622B8"/>
    <w:rsid w:val="00563697"/>
    <w:rsid w:val="0056380B"/>
    <w:rsid w:val="005658D7"/>
    <w:rsid w:val="00565B52"/>
    <w:rsid w:val="00572098"/>
    <w:rsid w:val="0057575C"/>
    <w:rsid w:val="00576894"/>
    <w:rsid w:val="0058006C"/>
    <w:rsid w:val="00583F50"/>
    <w:rsid w:val="005855AA"/>
    <w:rsid w:val="00586ABC"/>
    <w:rsid w:val="00590F16"/>
    <w:rsid w:val="00595318"/>
    <w:rsid w:val="005A0F84"/>
    <w:rsid w:val="005A166A"/>
    <w:rsid w:val="005A2C31"/>
    <w:rsid w:val="005A6D85"/>
    <w:rsid w:val="005B4F2E"/>
    <w:rsid w:val="005B6B80"/>
    <w:rsid w:val="005C0F1C"/>
    <w:rsid w:val="005C49AF"/>
    <w:rsid w:val="005C6CC0"/>
    <w:rsid w:val="005C785C"/>
    <w:rsid w:val="005D170F"/>
    <w:rsid w:val="005D6D7E"/>
    <w:rsid w:val="005E3692"/>
    <w:rsid w:val="0061523D"/>
    <w:rsid w:val="0062025D"/>
    <w:rsid w:val="00622A61"/>
    <w:rsid w:val="0062398B"/>
    <w:rsid w:val="006246FC"/>
    <w:rsid w:val="00626B0A"/>
    <w:rsid w:val="00635BE5"/>
    <w:rsid w:val="006364A9"/>
    <w:rsid w:val="006371D0"/>
    <w:rsid w:val="00644044"/>
    <w:rsid w:val="0065302A"/>
    <w:rsid w:val="0066488E"/>
    <w:rsid w:val="006659F7"/>
    <w:rsid w:val="00672E5E"/>
    <w:rsid w:val="00680706"/>
    <w:rsid w:val="006827D9"/>
    <w:rsid w:val="00690D3A"/>
    <w:rsid w:val="00692798"/>
    <w:rsid w:val="006A1C1E"/>
    <w:rsid w:val="006A1DF2"/>
    <w:rsid w:val="006B4B01"/>
    <w:rsid w:val="006C735D"/>
    <w:rsid w:val="006C748C"/>
    <w:rsid w:val="006D5D99"/>
    <w:rsid w:val="006D66C8"/>
    <w:rsid w:val="006E48C1"/>
    <w:rsid w:val="006E6183"/>
    <w:rsid w:val="006F08A7"/>
    <w:rsid w:val="007137CC"/>
    <w:rsid w:val="00713F88"/>
    <w:rsid w:val="00722969"/>
    <w:rsid w:val="007310E3"/>
    <w:rsid w:val="00732762"/>
    <w:rsid w:val="00735F13"/>
    <w:rsid w:val="00741CFB"/>
    <w:rsid w:val="00744D15"/>
    <w:rsid w:val="00751608"/>
    <w:rsid w:val="007521B7"/>
    <w:rsid w:val="007522B0"/>
    <w:rsid w:val="00753FF6"/>
    <w:rsid w:val="00755E9C"/>
    <w:rsid w:val="0076144A"/>
    <w:rsid w:val="00762D58"/>
    <w:rsid w:val="0076345A"/>
    <w:rsid w:val="007773FC"/>
    <w:rsid w:val="007822A8"/>
    <w:rsid w:val="00786544"/>
    <w:rsid w:val="00787B60"/>
    <w:rsid w:val="00791BB0"/>
    <w:rsid w:val="00792812"/>
    <w:rsid w:val="0079300F"/>
    <w:rsid w:val="0079490A"/>
    <w:rsid w:val="00794C91"/>
    <w:rsid w:val="00795683"/>
    <w:rsid w:val="00797E7C"/>
    <w:rsid w:val="007B0BD0"/>
    <w:rsid w:val="007C1F4F"/>
    <w:rsid w:val="007C50F6"/>
    <w:rsid w:val="007D6E60"/>
    <w:rsid w:val="007E5FF4"/>
    <w:rsid w:val="007E62E9"/>
    <w:rsid w:val="007F0070"/>
    <w:rsid w:val="007F51CC"/>
    <w:rsid w:val="00803654"/>
    <w:rsid w:val="00812837"/>
    <w:rsid w:val="0081439A"/>
    <w:rsid w:val="00816356"/>
    <w:rsid w:val="00817A22"/>
    <w:rsid w:val="008215E5"/>
    <w:rsid w:val="00833A12"/>
    <w:rsid w:val="00836262"/>
    <w:rsid w:val="00837EEE"/>
    <w:rsid w:val="00842CDB"/>
    <w:rsid w:val="008453C1"/>
    <w:rsid w:val="008464CF"/>
    <w:rsid w:val="00860725"/>
    <w:rsid w:val="00870954"/>
    <w:rsid w:val="008832E6"/>
    <w:rsid w:val="00890C8D"/>
    <w:rsid w:val="00891738"/>
    <w:rsid w:val="00892D9B"/>
    <w:rsid w:val="00894EB7"/>
    <w:rsid w:val="008A151B"/>
    <w:rsid w:val="008A4B3A"/>
    <w:rsid w:val="008A5AC0"/>
    <w:rsid w:val="008A67F4"/>
    <w:rsid w:val="008C19FC"/>
    <w:rsid w:val="008C301C"/>
    <w:rsid w:val="008C5B89"/>
    <w:rsid w:val="008C5FC0"/>
    <w:rsid w:val="008C63C0"/>
    <w:rsid w:val="008D3421"/>
    <w:rsid w:val="008E1D5C"/>
    <w:rsid w:val="008E3B13"/>
    <w:rsid w:val="008E790A"/>
    <w:rsid w:val="008F4104"/>
    <w:rsid w:val="008F5BFB"/>
    <w:rsid w:val="008F5D99"/>
    <w:rsid w:val="008F65E1"/>
    <w:rsid w:val="008F65FF"/>
    <w:rsid w:val="0091001E"/>
    <w:rsid w:val="00911D54"/>
    <w:rsid w:val="00924B2B"/>
    <w:rsid w:val="00927BE1"/>
    <w:rsid w:val="00932797"/>
    <w:rsid w:val="0093283C"/>
    <w:rsid w:val="00932E4B"/>
    <w:rsid w:val="00934468"/>
    <w:rsid w:val="00951688"/>
    <w:rsid w:val="00951D23"/>
    <w:rsid w:val="00954FDC"/>
    <w:rsid w:val="00961A05"/>
    <w:rsid w:val="00962ED9"/>
    <w:rsid w:val="00977022"/>
    <w:rsid w:val="00982DFF"/>
    <w:rsid w:val="00983EB4"/>
    <w:rsid w:val="009925A1"/>
    <w:rsid w:val="00994E9A"/>
    <w:rsid w:val="009957B4"/>
    <w:rsid w:val="009A26CE"/>
    <w:rsid w:val="009A6013"/>
    <w:rsid w:val="009B2975"/>
    <w:rsid w:val="009C1A7C"/>
    <w:rsid w:val="009C54D9"/>
    <w:rsid w:val="009C7416"/>
    <w:rsid w:val="009D2D56"/>
    <w:rsid w:val="009D2F10"/>
    <w:rsid w:val="009D478B"/>
    <w:rsid w:val="009E274D"/>
    <w:rsid w:val="009F4944"/>
    <w:rsid w:val="00A0526C"/>
    <w:rsid w:val="00A054CB"/>
    <w:rsid w:val="00A0671B"/>
    <w:rsid w:val="00A12965"/>
    <w:rsid w:val="00A12AD0"/>
    <w:rsid w:val="00A13E8E"/>
    <w:rsid w:val="00A145F2"/>
    <w:rsid w:val="00A15CB9"/>
    <w:rsid w:val="00A1675F"/>
    <w:rsid w:val="00A17E08"/>
    <w:rsid w:val="00A217A7"/>
    <w:rsid w:val="00A26428"/>
    <w:rsid w:val="00A30F78"/>
    <w:rsid w:val="00A33FC0"/>
    <w:rsid w:val="00A51756"/>
    <w:rsid w:val="00A52365"/>
    <w:rsid w:val="00A71AD7"/>
    <w:rsid w:val="00A743E1"/>
    <w:rsid w:val="00A843F7"/>
    <w:rsid w:val="00A86320"/>
    <w:rsid w:val="00A90104"/>
    <w:rsid w:val="00A920BD"/>
    <w:rsid w:val="00A933F1"/>
    <w:rsid w:val="00A943AF"/>
    <w:rsid w:val="00AA258B"/>
    <w:rsid w:val="00AA5B28"/>
    <w:rsid w:val="00AB7E39"/>
    <w:rsid w:val="00AD4127"/>
    <w:rsid w:val="00AE2AB4"/>
    <w:rsid w:val="00AE41B8"/>
    <w:rsid w:val="00AE6421"/>
    <w:rsid w:val="00AF0341"/>
    <w:rsid w:val="00AF11E5"/>
    <w:rsid w:val="00B0012B"/>
    <w:rsid w:val="00B0274B"/>
    <w:rsid w:val="00B135AA"/>
    <w:rsid w:val="00B15BB1"/>
    <w:rsid w:val="00B20AC8"/>
    <w:rsid w:val="00B20EAD"/>
    <w:rsid w:val="00B2791F"/>
    <w:rsid w:val="00B31734"/>
    <w:rsid w:val="00B31B9F"/>
    <w:rsid w:val="00B32784"/>
    <w:rsid w:val="00B32975"/>
    <w:rsid w:val="00B358E2"/>
    <w:rsid w:val="00B37ED7"/>
    <w:rsid w:val="00B43B4C"/>
    <w:rsid w:val="00B46412"/>
    <w:rsid w:val="00B46FEF"/>
    <w:rsid w:val="00B551F6"/>
    <w:rsid w:val="00B622A2"/>
    <w:rsid w:val="00B634DE"/>
    <w:rsid w:val="00B6491D"/>
    <w:rsid w:val="00B709EE"/>
    <w:rsid w:val="00B739DE"/>
    <w:rsid w:val="00B75998"/>
    <w:rsid w:val="00B778E5"/>
    <w:rsid w:val="00B82422"/>
    <w:rsid w:val="00B91B1B"/>
    <w:rsid w:val="00B91EEE"/>
    <w:rsid w:val="00B92954"/>
    <w:rsid w:val="00BA0853"/>
    <w:rsid w:val="00BA3202"/>
    <w:rsid w:val="00BA4074"/>
    <w:rsid w:val="00BB011D"/>
    <w:rsid w:val="00BB5323"/>
    <w:rsid w:val="00BB6537"/>
    <w:rsid w:val="00BB78A9"/>
    <w:rsid w:val="00BC393B"/>
    <w:rsid w:val="00BC3F9D"/>
    <w:rsid w:val="00BC599F"/>
    <w:rsid w:val="00BD31A2"/>
    <w:rsid w:val="00BF0A6D"/>
    <w:rsid w:val="00BF3CBA"/>
    <w:rsid w:val="00BF46EF"/>
    <w:rsid w:val="00BF7251"/>
    <w:rsid w:val="00C00457"/>
    <w:rsid w:val="00C0433C"/>
    <w:rsid w:val="00C11000"/>
    <w:rsid w:val="00C11120"/>
    <w:rsid w:val="00C165A2"/>
    <w:rsid w:val="00C27000"/>
    <w:rsid w:val="00C27369"/>
    <w:rsid w:val="00C32DDE"/>
    <w:rsid w:val="00C33B19"/>
    <w:rsid w:val="00C344B1"/>
    <w:rsid w:val="00C36412"/>
    <w:rsid w:val="00C4018F"/>
    <w:rsid w:val="00C421BD"/>
    <w:rsid w:val="00C5225C"/>
    <w:rsid w:val="00C575C6"/>
    <w:rsid w:val="00C619EF"/>
    <w:rsid w:val="00C62334"/>
    <w:rsid w:val="00C64A97"/>
    <w:rsid w:val="00C66852"/>
    <w:rsid w:val="00C679D1"/>
    <w:rsid w:val="00C75E97"/>
    <w:rsid w:val="00C82BA7"/>
    <w:rsid w:val="00C9254D"/>
    <w:rsid w:val="00C96119"/>
    <w:rsid w:val="00CA3364"/>
    <w:rsid w:val="00CA4825"/>
    <w:rsid w:val="00CA5BCE"/>
    <w:rsid w:val="00CA5D1F"/>
    <w:rsid w:val="00CB5C99"/>
    <w:rsid w:val="00CC69BD"/>
    <w:rsid w:val="00CC7ECB"/>
    <w:rsid w:val="00CD1C9E"/>
    <w:rsid w:val="00CE3684"/>
    <w:rsid w:val="00CE37B8"/>
    <w:rsid w:val="00CE48EC"/>
    <w:rsid w:val="00CF2544"/>
    <w:rsid w:val="00CF2DC5"/>
    <w:rsid w:val="00CF4D48"/>
    <w:rsid w:val="00D14BC4"/>
    <w:rsid w:val="00D16752"/>
    <w:rsid w:val="00D20F9F"/>
    <w:rsid w:val="00D23358"/>
    <w:rsid w:val="00D328C8"/>
    <w:rsid w:val="00D350B9"/>
    <w:rsid w:val="00D41385"/>
    <w:rsid w:val="00D4214C"/>
    <w:rsid w:val="00D4375E"/>
    <w:rsid w:val="00D50D7A"/>
    <w:rsid w:val="00D53672"/>
    <w:rsid w:val="00D60702"/>
    <w:rsid w:val="00D60AA4"/>
    <w:rsid w:val="00D61776"/>
    <w:rsid w:val="00D61880"/>
    <w:rsid w:val="00D61AB2"/>
    <w:rsid w:val="00D62B6C"/>
    <w:rsid w:val="00D64659"/>
    <w:rsid w:val="00D649CE"/>
    <w:rsid w:val="00D73AC8"/>
    <w:rsid w:val="00D75729"/>
    <w:rsid w:val="00D76C6F"/>
    <w:rsid w:val="00D77C5D"/>
    <w:rsid w:val="00D85F26"/>
    <w:rsid w:val="00D97F04"/>
    <w:rsid w:val="00DA087F"/>
    <w:rsid w:val="00DA3011"/>
    <w:rsid w:val="00DA66A4"/>
    <w:rsid w:val="00DB2049"/>
    <w:rsid w:val="00DB6367"/>
    <w:rsid w:val="00DD5170"/>
    <w:rsid w:val="00DE081C"/>
    <w:rsid w:val="00DE363B"/>
    <w:rsid w:val="00DE542C"/>
    <w:rsid w:val="00DE5BC3"/>
    <w:rsid w:val="00DF00D4"/>
    <w:rsid w:val="00DF6145"/>
    <w:rsid w:val="00E05336"/>
    <w:rsid w:val="00E06D5C"/>
    <w:rsid w:val="00E15667"/>
    <w:rsid w:val="00E1709D"/>
    <w:rsid w:val="00E22F28"/>
    <w:rsid w:val="00E24A05"/>
    <w:rsid w:val="00E27260"/>
    <w:rsid w:val="00E31295"/>
    <w:rsid w:val="00E33FE5"/>
    <w:rsid w:val="00E40E65"/>
    <w:rsid w:val="00E46E3E"/>
    <w:rsid w:val="00E53123"/>
    <w:rsid w:val="00E5331E"/>
    <w:rsid w:val="00E5471E"/>
    <w:rsid w:val="00E654BB"/>
    <w:rsid w:val="00E67C6C"/>
    <w:rsid w:val="00E82A8A"/>
    <w:rsid w:val="00E82FD5"/>
    <w:rsid w:val="00E8757F"/>
    <w:rsid w:val="00E92740"/>
    <w:rsid w:val="00EA0C82"/>
    <w:rsid w:val="00EA1066"/>
    <w:rsid w:val="00EA221D"/>
    <w:rsid w:val="00EA4E0F"/>
    <w:rsid w:val="00EB0AF1"/>
    <w:rsid w:val="00EB55F2"/>
    <w:rsid w:val="00EB708B"/>
    <w:rsid w:val="00EB723F"/>
    <w:rsid w:val="00EC6230"/>
    <w:rsid w:val="00ED0A0A"/>
    <w:rsid w:val="00ED78FB"/>
    <w:rsid w:val="00EE3C39"/>
    <w:rsid w:val="00EE47AE"/>
    <w:rsid w:val="00F1232B"/>
    <w:rsid w:val="00F129C6"/>
    <w:rsid w:val="00F16F8D"/>
    <w:rsid w:val="00F24AAC"/>
    <w:rsid w:val="00F27055"/>
    <w:rsid w:val="00F2776E"/>
    <w:rsid w:val="00F34EC7"/>
    <w:rsid w:val="00F42B1C"/>
    <w:rsid w:val="00F43C17"/>
    <w:rsid w:val="00F54293"/>
    <w:rsid w:val="00F60265"/>
    <w:rsid w:val="00F62ED6"/>
    <w:rsid w:val="00F63378"/>
    <w:rsid w:val="00F673C6"/>
    <w:rsid w:val="00F715C0"/>
    <w:rsid w:val="00F76A64"/>
    <w:rsid w:val="00F86ECB"/>
    <w:rsid w:val="00F87A3D"/>
    <w:rsid w:val="00F9287B"/>
    <w:rsid w:val="00FA113B"/>
    <w:rsid w:val="00FA279A"/>
    <w:rsid w:val="00FA45C5"/>
    <w:rsid w:val="00FA53D5"/>
    <w:rsid w:val="00FA5C88"/>
    <w:rsid w:val="00FB4DAD"/>
    <w:rsid w:val="00FC3FDE"/>
    <w:rsid w:val="00FC6640"/>
    <w:rsid w:val="00FD0436"/>
    <w:rsid w:val="00FE0C08"/>
    <w:rsid w:val="00FE2C5A"/>
    <w:rsid w:val="00FE34DA"/>
    <w:rsid w:val="00FE3FD6"/>
    <w:rsid w:val="00FF1CA8"/>
    <w:rsid w:val="00FF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1D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21D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21D"/>
    <w:pPr>
      <w:keepNext/>
      <w:widowControl w:val="0"/>
      <w:jc w:val="center"/>
      <w:outlineLvl w:val="1"/>
    </w:pPr>
    <w:rPr>
      <w:rFonts w:ascii="Cambria" w:hAnsi="Cambria"/>
      <w:b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5EC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5ECC"/>
    <w:rPr>
      <w:rFonts w:ascii="Cambria" w:hAnsi="Cambria"/>
      <w:b/>
      <w:i/>
      <w:sz w:val="28"/>
    </w:rPr>
  </w:style>
  <w:style w:type="character" w:styleId="Hyperlink">
    <w:name w:val="Hyperlink"/>
    <w:basedOn w:val="DefaultParagraphFont"/>
    <w:uiPriority w:val="99"/>
    <w:rsid w:val="00EA221D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A221D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75ECC"/>
    <w:rPr>
      <w:rFonts w:ascii="Cambria" w:hAnsi="Cambria"/>
      <w:b/>
      <w:kern w:val="28"/>
      <w:sz w:val="32"/>
    </w:rPr>
  </w:style>
  <w:style w:type="character" w:styleId="Strong">
    <w:name w:val="Strong"/>
    <w:basedOn w:val="DefaultParagraphFont"/>
    <w:uiPriority w:val="99"/>
    <w:qFormat/>
    <w:rsid w:val="00EA221D"/>
    <w:rPr>
      <w:rFonts w:cs="Times New Roman"/>
      <w:b/>
    </w:rPr>
  </w:style>
  <w:style w:type="paragraph" w:customStyle="1" w:styleId="BalloonText1">
    <w:name w:val="Balloon Text1"/>
    <w:basedOn w:val="Normal"/>
    <w:uiPriority w:val="99"/>
    <w:rsid w:val="00EA2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A221D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rsid w:val="00053061"/>
    <w:rPr>
      <w:sz w:val="24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053061"/>
    <w:rPr>
      <w:sz w:val="24"/>
    </w:rPr>
  </w:style>
  <w:style w:type="character" w:customStyle="1" w:styleId="a1">
    <w:name w:val="Текст выноски Знак"/>
    <w:uiPriority w:val="99"/>
    <w:rsid w:val="00EA221D"/>
    <w:rPr>
      <w:rFonts w:ascii="Tahoma" w:hAnsi="Tahoma"/>
      <w:sz w:val="16"/>
    </w:rPr>
  </w:style>
  <w:style w:type="paragraph" w:styleId="BodyTextIndent">
    <w:name w:val="Body Text Indent"/>
    <w:basedOn w:val="Normal"/>
    <w:link w:val="BodyTextIndentChar"/>
    <w:uiPriority w:val="99"/>
    <w:rsid w:val="00EA221D"/>
    <w:pPr>
      <w:widowControl w:val="0"/>
      <w:ind w:firstLine="283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75ECC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rsid w:val="00EA221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E42F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E42F4"/>
    <w:rPr>
      <w:sz w:val="28"/>
    </w:rPr>
  </w:style>
  <w:style w:type="character" w:customStyle="1" w:styleId="a2">
    <w:name w:val="Текст примечания Знак"/>
    <w:uiPriority w:val="99"/>
    <w:rsid w:val="00EA221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221D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5ECC"/>
    <w:rPr>
      <w:rFonts w:ascii="Times New Roman" w:hAnsi="Times New Roman"/>
      <w:b/>
      <w:sz w:val="20"/>
    </w:rPr>
  </w:style>
  <w:style w:type="character" w:customStyle="1" w:styleId="a3">
    <w:name w:val="Тема примечания Знак"/>
    <w:uiPriority w:val="99"/>
    <w:rsid w:val="00EA221D"/>
    <w:rPr>
      <w:b/>
    </w:rPr>
  </w:style>
  <w:style w:type="paragraph" w:styleId="NoSpacing">
    <w:name w:val="No Spacing"/>
    <w:uiPriority w:val="99"/>
    <w:qFormat/>
    <w:rsid w:val="00EA221D"/>
    <w:pPr>
      <w:suppressAutoHyphens/>
    </w:pPr>
    <w:rPr>
      <w:rFonts w:cs="Calibri"/>
      <w:lang w:eastAsia="ar-SA"/>
    </w:rPr>
  </w:style>
  <w:style w:type="paragraph" w:customStyle="1" w:styleId="1">
    <w:name w:val="1"/>
    <w:basedOn w:val="Normal"/>
    <w:uiPriority w:val="99"/>
    <w:rsid w:val="00EA221D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3">
    <w:name w:val="Основной текст3"/>
    <w:uiPriority w:val="99"/>
    <w:rsid w:val="00EA221D"/>
    <w:rPr>
      <w:rFonts w:ascii="Times New Roman" w:hAnsi="Times New Roman"/>
      <w:color w:val="000000"/>
      <w:spacing w:val="0"/>
      <w:w w:val="100"/>
      <w:position w:val="0"/>
      <w:sz w:val="25"/>
      <w:shd w:val="clear" w:color="auto" w:fill="FFFFFF"/>
      <w:lang w:val="ru-RU"/>
    </w:rPr>
  </w:style>
  <w:style w:type="paragraph" w:styleId="ListParagraph">
    <w:name w:val="List Paragraph"/>
    <w:basedOn w:val="Normal"/>
    <w:uiPriority w:val="99"/>
    <w:qFormat/>
    <w:rsid w:val="00D14BC4"/>
    <w:pPr>
      <w:ind w:left="720"/>
      <w:contextualSpacing/>
    </w:pPr>
  </w:style>
  <w:style w:type="table" w:styleId="TableGrid">
    <w:name w:val="Table Grid"/>
    <w:basedOn w:val="TableNormal"/>
    <w:uiPriority w:val="99"/>
    <w:rsid w:val="004573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027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locked/>
    <w:rsid w:val="0001526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locked/>
    <w:rsid w:val="008F5D99"/>
    <w:pPr>
      <w:spacing w:after="120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D99"/>
    <w:rPr>
      <w:sz w:val="24"/>
      <w:lang w:val="ru-RU" w:eastAsia="ru-RU"/>
    </w:rPr>
  </w:style>
  <w:style w:type="paragraph" w:customStyle="1" w:styleId="TableParagraph">
    <w:name w:val="Table Paragraph"/>
    <w:basedOn w:val="Normal"/>
    <w:uiPriority w:val="99"/>
    <w:rsid w:val="008F5D99"/>
    <w:pPr>
      <w:widowControl w:val="0"/>
      <w:autoSpaceDE w:val="0"/>
      <w:autoSpaceDN w:val="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a4">
    <w:name w:val="Стиль"/>
    <w:basedOn w:val="Normal"/>
    <w:next w:val="NormalWeb"/>
    <w:uiPriority w:val="99"/>
    <w:rsid w:val="008F5D9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uiPriority w:val="99"/>
    <w:rsid w:val="008F5D99"/>
    <w:rPr>
      <w:color w:val="FF0000"/>
    </w:rPr>
  </w:style>
  <w:style w:type="character" w:customStyle="1" w:styleId="10">
    <w:name w:val="Неразрешенное упоминание1"/>
    <w:uiPriority w:val="99"/>
    <w:semiHidden/>
    <w:rsid w:val="00833A12"/>
    <w:rPr>
      <w:color w:val="605E5C"/>
      <w:shd w:val="clear" w:color="auto" w:fill="E1DFDD"/>
    </w:rPr>
  </w:style>
  <w:style w:type="paragraph" w:customStyle="1" w:styleId="a0">
    <w:name w:val="Заголовок Положения"/>
    <w:basedOn w:val="ListParagraph"/>
    <w:uiPriority w:val="99"/>
    <w:rsid w:val="00E06D5C"/>
    <w:pPr>
      <w:keepNext/>
      <w:numPr>
        <w:numId w:val="1"/>
      </w:numPr>
      <w:spacing w:before="240" w:after="240"/>
      <w:ind w:left="357" w:hanging="357"/>
      <w:jc w:val="center"/>
      <w:outlineLvl w:val="0"/>
    </w:pPr>
    <w:rPr>
      <w:b/>
      <w:caps/>
    </w:rPr>
  </w:style>
  <w:style w:type="paragraph" w:customStyle="1" w:styleId="a5">
    <w:name w:val="Абзац Положения"/>
    <w:basedOn w:val="Normal"/>
    <w:uiPriority w:val="99"/>
    <w:rsid w:val="00BB5323"/>
    <w:pPr>
      <w:ind w:firstLine="567"/>
      <w:jc w:val="both"/>
      <w:outlineLvl w:val="2"/>
    </w:pPr>
  </w:style>
  <w:style w:type="paragraph" w:customStyle="1" w:styleId="a">
    <w:name w:val="Нумерация черта"/>
    <w:basedOn w:val="a5"/>
    <w:uiPriority w:val="99"/>
    <w:rsid w:val="004B0163"/>
    <w:pPr>
      <w:numPr>
        <w:numId w:val="3"/>
      </w:numPr>
      <w:tabs>
        <w:tab w:val="left" w:pos="284"/>
      </w:tabs>
      <w:ind w:firstLine="0"/>
    </w:pPr>
  </w:style>
  <w:style w:type="character" w:styleId="FollowedHyperlink">
    <w:name w:val="FollowedHyperlink"/>
    <w:basedOn w:val="DefaultParagraphFont"/>
    <w:uiPriority w:val="99"/>
    <w:semiHidden/>
    <w:locked/>
    <w:rsid w:val="00E22F28"/>
    <w:rPr>
      <w:rFonts w:cs="Times New Roman"/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rsid w:val="007822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locked/>
    <w:rsid w:val="00E06D5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6D5C"/>
    <w:rPr>
      <w:sz w:val="28"/>
    </w:rPr>
  </w:style>
  <w:style w:type="paragraph" w:styleId="Footer">
    <w:name w:val="footer"/>
    <w:basedOn w:val="Normal"/>
    <w:link w:val="FooterChar"/>
    <w:uiPriority w:val="99"/>
    <w:locked/>
    <w:rsid w:val="00E06D5C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6D5C"/>
    <w:rPr>
      <w:sz w:val="28"/>
    </w:rPr>
  </w:style>
  <w:style w:type="character" w:customStyle="1" w:styleId="30">
    <w:name w:val="Неразрешенное упоминание3"/>
    <w:uiPriority w:val="99"/>
    <w:semiHidden/>
    <w:rsid w:val="00416572"/>
    <w:rPr>
      <w:color w:val="605E5C"/>
      <w:shd w:val="clear" w:color="auto" w:fill="E1DFDD"/>
    </w:rPr>
  </w:style>
  <w:style w:type="character" w:customStyle="1" w:styleId="4">
    <w:name w:val="Неразрешенное упоминание4"/>
    <w:uiPriority w:val="99"/>
    <w:semiHidden/>
    <w:rsid w:val="004069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de4/q088v6yhkqxyiph04v3utd7msiqj04vp/2023-BLITS-Gran_Pri.pdf" TargetMode="External"/><Relationship Id="rId13" Type="http://schemas.openxmlformats.org/officeDocument/2006/relationships/hyperlink" Target="file:///C:\Users\Regul\Dropbox\000\2023%20&#1075;&#1086;&#1076;\01_&#1052;&#1091;&#1078;&#1089;&#1082;&#1080;&#1077;\2023.07.28-31%20&#1056;&#1040;&#1055;&#1048;&#1044;%20&#1043;&#1088;&#1072;&#1085;-&#1055;&#1088;&#1080;%20&#1055;&#1086;&#1083;&#1086;&#1078;&#1077;&#1085;&#1080;&#1077;%20&#1047;&#1091;&#1076;&#1086;&#1074;\&#1055;&#1086;&#1083;&#1080;&#1090;&#1080;&#1082;&#1077;" TargetMode="External"/><Relationship Id="rId18" Type="http://schemas.openxmlformats.org/officeDocument/2006/relationships/hyperlink" Target="mailto:agafonova@ruchess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chess.ru/upload/iblock/de4/q088v6yhkqxyiph04v3utd7msiqj04vp/2023-BLITS-Gran_Pri.pdf" TargetMode="External"/><Relationship Id="rId7" Type="http://schemas.openxmlformats.org/officeDocument/2006/relationships/hyperlink" Target="https://ruchess.ru/championship/calendar/?LIST=1" TargetMode="External"/><Relationship Id="rId12" Type="http://schemas.openxmlformats.org/officeDocument/2006/relationships/hyperlink" Target="https://ruchess.ru/upload/iblock/9f7/2hknn40f60camxgbglfw9mz3b8jxgp27/Polozhenie-Minsporta-2023.pdf" TargetMode="External"/><Relationship Id="rId17" Type="http://schemas.openxmlformats.org/officeDocument/2006/relationships/hyperlink" Target="https://ruchess.ru/upload/iblock/044/nu5vpcpar7sal8uq9kt8s35rghl5867t/2023-RAPID-Gran_Pri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pbchesstournaments.com/" TargetMode="External"/><Relationship Id="rId20" Type="http://schemas.openxmlformats.org/officeDocument/2006/relationships/hyperlink" Target="http://spbchesstournament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chess.ru/upload/iblock/57d/57d0ef54ee9b759e74f6f66f4884bb6b.pdf" TargetMode="External"/><Relationship Id="rId24" Type="http://schemas.openxmlformats.org/officeDocument/2006/relationships/hyperlink" Target="mailto:spbchessfederation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chess.ru/federation/documents/" TargetMode="External"/><Relationship Id="rId23" Type="http://schemas.openxmlformats.org/officeDocument/2006/relationships/hyperlink" Target="mailto:spbchessfederation@yahoo.com" TargetMode="External"/><Relationship Id="rId10" Type="http://schemas.openxmlformats.org/officeDocument/2006/relationships/hyperlink" Target="https://ruchess.ru/upload/iblock/c8f/yuakjn7sy0aecl34l7vxs0ponp3qt2ds/Pravila-FIDE-_s-01.01.2023_.pdf" TargetMode="External"/><Relationship Id="rId19" Type="http://schemas.openxmlformats.org/officeDocument/2006/relationships/hyperlink" Target="mailto:agafonova@ruche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hess.ru/upload/iblock/9f7/2hknn40f60camxgbglfw9mz3b8jxgp27/Polozhenie-Minsporta-2023.pdf" TargetMode="External"/><Relationship Id="rId14" Type="http://schemas.openxmlformats.org/officeDocument/2006/relationships/hyperlink" Target="https://ruchess.ru/downloads/2022/personal_data_policy.pdf" TargetMode="External"/><Relationship Id="rId22" Type="http://schemas.openxmlformats.org/officeDocument/2006/relationships/hyperlink" Target="mailto:spbchessfederation@yahoo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9</Pages>
  <Words>3048</Words>
  <Characters>17377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Regul</dc:creator>
  <cp:keywords/>
  <dc:description/>
  <cp:lastModifiedBy>SerS</cp:lastModifiedBy>
  <cp:revision>8</cp:revision>
  <cp:lastPrinted>2017-04-13T10:02:00Z</cp:lastPrinted>
  <dcterms:created xsi:type="dcterms:W3CDTF">2023-09-19T23:36:00Z</dcterms:created>
  <dcterms:modified xsi:type="dcterms:W3CDTF">2023-09-28T05:54:00Z</dcterms:modified>
</cp:coreProperties>
</file>